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E6006">
      <w:pPr>
        <w:spacing w:line="360" w:lineRule="auto"/>
        <w:rPr>
          <w:rFonts w:ascii="宋体" w:cs="宋体"/>
          <w:b/>
          <w:bCs/>
          <w:color w:val="auto"/>
          <w:sz w:val="52"/>
          <w:szCs w:val="52"/>
          <w:highlight w:val="none"/>
        </w:rPr>
      </w:pPr>
    </w:p>
    <w:p w14:paraId="4E7E6008">
      <w:pPr>
        <w:spacing w:line="360" w:lineRule="auto"/>
        <w:jc w:val="center"/>
        <w:rPr>
          <w:rFonts w:ascii="宋体" w:cs="宋体"/>
          <w:b/>
          <w:bCs/>
          <w:color w:val="auto"/>
          <w:sz w:val="40"/>
          <w:szCs w:val="40"/>
          <w:highlight w:val="none"/>
        </w:rPr>
      </w:pPr>
      <w:r>
        <w:rPr>
          <w:rFonts w:hint="eastAsia" w:ascii="宋体" w:cs="宋体"/>
          <w:b/>
          <w:bCs/>
          <w:color w:val="auto"/>
          <w:sz w:val="40"/>
          <w:szCs w:val="40"/>
          <w:highlight w:val="none"/>
        </w:rPr>
        <w:t>江苏商贸职业学院零星维修工程施工队伍招标项目</w:t>
      </w:r>
    </w:p>
    <w:p w14:paraId="4E7E6009">
      <w:pPr>
        <w:spacing w:line="360" w:lineRule="auto"/>
        <w:jc w:val="center"/>
        <w:rPr>
          <w:rFonts w:ascii="宋体" w:cs="宋体"/>
          <w:b/>
          <w:bCs/>
          <w:color w:val="auto"/>
          <w:sz w:val="52"/>
          <w:szCs w:val="52"/>
          <w:highlight w:val="none"/>
        </w:rPr>
      </w:pPr>
    </w:p>
    <w:p w14:paraId="4E7E600A">
      <w:pPr>
        <w:spacing w:line="360" w:lineRule="auto"/>
        <w:jc w:val="center"/>
        <w:rPr>
          <w:rFonts w:ascii="宋体" w:cs="宋体"/>
          <w:b/>
          <w:bCs/>
          <w:color w:val="auto"/>
          <w:sz w:val="52"/>
          <w:szCs w:val="52"/>
          <w:highlight w:val="none"/>
        </w:rPr>
      </w:pPr>
    </w:p>
    <w:p w14:paraId="4E7E600B">
      <w:pPr>
        <w:spacing w:line="360" w:lineRule="auto"/>
        <w:jc w:val="center"/>
        <w:rPr>
          <w:rFonts w:ascii="宋体" w:cs="宋体"/>
          <w:b/>
          <w:bCs/>
          <w:color w:val="auto"/>
          <w:sz w:val="52"/>
          <w:szCs w:val="52"/>
          <w:highlight w:val="none"/>
        </w:rPr>
      </w:pPr>
    </w:p>
    <w:p w14:paraId="4E7E600C">
      <w:pPr>
        <w:spacing w:line="360" w:lineRule="auto"/>
        <w:jc w:val="center"/>
        <w:rPr>
          <w:rFonts w:ascii="宋体" w:cs="宋体"/>
          <w:b/>
          <w:bCs/>
          <w:color w:val="auto"/>
          <w:sz w:val="52"/>
          <w:szCs w:val="52"/>
          <w:highlight w:val="none"/>
        </w:rPr>
      </w:pPr>
      <w:r>
        <w:rPr>
          <w:rFonts w:hint="eastAsia" w:ascii="宋体" w:cs="宋体"/>
          <w:b/>
          <w:bCs/>
          <w:color w:val="auto"/>
          <w:sz w:val="52"/>
          <w:szCs w:val="52"/>
          <w:highlight w:val="none"/>
        </w:rPr>
        <w:t>招标文件</w:t>
      </w:r>
      <w:bookmarkStart w:id="54" w:name="_GoBack"/>
      <w:bookmarkEnd w:id="54"/>
    </w:p>
    <w:p w14:paraId="4E7E600D">
      <w:pPr>
        <w:spacing w:line="360" w:lineRule="auto"/>
        <w:jc w:val="center"/>
        <w:rPr>
          <w:rFonts w:ascii="宋体" w:cs="宋体"/>
          <w:color w:val="auto"/>
          <w:sz w:val="28"/>
          <w:szCs w:val="28"/>
          <w:highlight w:val="none"/>
        </w:rPr>
      </w:pPr>
      <w:r>
        <w:rPr>
          <w:rFonts w:hint="eastAsia" w:ascii="宋体" w:cs="宋体"/>
          <w:color w:val="auto"/>
          <w:sz w:val="28"/>
          <w:szCs w:val="28"/>
          <w:highlight w:val="none"/>
        </w:rPr>
        <w:t>（资格后审）</w:t>
      </w:r>
    </w:p>
    <w:p w14:paraId="4E7E600E">
      <w:pPr>
        <w:spacing w:line="360" w:lineRule="auto"/>
        <w:jc w:val="center"/>
        <w:rPr>
          <w:rFonts w:ascii="宋体" w:cs="宋体"/>
          <w:color w:val="auto"/>
          <w:sz w:val="25"/>
          <w:highlight w:val="none"/>
        </w:rPr>
      </w:pPr>
      <w:r>
        <w:rPr>
          <w:rFonts w:hint="eastAsia" w:ascii="宋体" w:hAnsi="宋体" w:cs="宋体"/>
          <w:sz w:val="32"/>
          <w:szCs w:val="32"/>
        </w:rPr>
        <w:t>项目编号：JSSYCG20260831051</w:t>
      </w:r>
      <w:r>
        <w:rPr>
          <w:rFonts w:hint="eastAsia" w:ascii="宋体" w:cs="宋体"/>
          <w:color w:val="auto"/>
          <w:sz w:val="28"/>
          <w:szCs w:val="28"/>
          <w:highlight w:val="none"/>
        </w:rPr>
        <w:br w:type="textWrapping"/>
      </w:r>
    </w:p>
    <w:p w14:paraId="4E7E600F">
      <w:pPr>
        <w:spacing w:line="360" w:lineRule="auto"/>
        <w:jc w:val="center"/>
        <w:rPr>
          <w:rFonts w:ascii="宋体" w:cs="宋体"/>
          <w:color w:val="auto"/>
          <w:sz w:val="25"/>
          <w:highlight w:val="none"/>
        </w:rPr>
      </w:pPr>
    </w:p>
    <w:p w14:paraId="4E7E6010">
      <w:pPr>
        <w:spacing w:line="360" w:lineRule="auto"/>
        <w:jc w:val="center"/>
        <w:rPr>
          <w:rFonts w:ascii="宋体" w:cs="宋体"/>
          <w:color w:val="auto"/>
          <w:sz w:val="25"/>
          <w:highlight w:val="none"/>
        </w:rPr>
      </w:pPr>
    </w:p>
    <w:p w14:paraId="4E7E6011">
      <w:pPr>
        <w:spacing w:line="360" w:lineRule="auto"/>
        <w:jc w:val="center"/>
        <w:rPr>
          <w:rFonts w:ascii="宋体" w:cs="宋体"/>
          <w:color w:val="auto"/>
          <w:sz w:val="25"/>
          <w:highlight w:val="none"/>
        </w:rPr>
      </w:pPr>
    </w:p>
    <w:p w14:paraId="4E7E6012">
      <w:pPr>
        <w:spacing w:line="360" w:lineRule="auto"/>
        <w:jc w:val="center"/>
        <w:rPr>
          <w:rFonts w:ascii="宋体" w:cs="宋体"/>
          <w:color w:val="auto"/>
          <w:sz w:val="25"/>
          <w:highlight w:val="none"/>
        </w:rPr>
      </w:pPr>
    </w:p>
    <w:p w14:paraId="28D31052">
      <w:pPr>
        <w:spacing w:line="360" w:lineRule="auto"/>
        <w:ind w:firstLine="1405" w:firstLineChars="500"/>
        <w:rPr>
          <w:rFonts w:hint="eastAsia" w:ascii="宋体" w:cs="宋体"/>
          <w:b/>
          <w:bCs/>
          <w:color w:val="auto"/>
          <w:sz w:val="28"/>
          <w:szCs w:val="28"/>
          <w:highlight w:val="none"/>
        </w:rPr>
      </w:pPr>
    </w:p>
    <w:p w14:paraId="1179FEF0">
      <w:pPr>
        <w:spacing w:line="360" w:lineRule="auto"/>
        <w:ind w:firstLine="1405" w:firstLineChars="500"/>
        <w:rPr>
          <w:rFonts w:hint="eastAsia" w:ascii="宋体" w:cs="宋体"/>
          <w:b/>
          <w:bCs/>
          <w:color w:val="auto"/>
          <w:sz w:val="28"/>
          <w:szCs w:val="28"/>
          <w:highlight w:val="none"/>
        </w:rPr>
      </w:pPr>
    </w:p>
    <w:p w14:paraId="2E1FD79D">
      <w:pPr>
        <w:pStyle w:val="23"/>
        <w:spacing w:line="360" w:lineRule="auto"/>
        <w:ind w:left="0" w:leftChars="0" w:firstLine="0" w:firstLineChars="0"/>
        <w:jc w:val="center"/>
        <w:rPr>
          <w:rFonts w:ascii="宋体" w:hAnsi="宋体" w:cs="宋体"/>
          <w:b/>
          <w:bCs/>
          <w:sz w:val="32"/>
          <w:szCs w:val="32"/>
        </w:rPr>
      </w:pPr>
      <w:bookmarkStart w:id="0" w:name="_Toc380681011"/>
      <w:bookmarkStart w:id="1" w:name="_Toc380681230"/>
      <w:bookmarkStart w:id="2" w:name="_Toc404174016"/>
      <w:bookmarkStart w:id="3" w:name="_Toc380680818"/>
      <w:bookmarkStart w:id="4" w:name="_Toc380680178"/>
      <w:r>
        <w:rPr>
          <w:rFonts w:hint="eastAsia" w:ascii="宋体" w:hAnsi="宋体" w:cs="宋体"/>
          <w:b/>
          <w:bCs/>
          <w:sz w:val="32"/>
          <w:szCs w:val="32"/>
        </w:rPr>
        <w:t>招  标  单  位：江苏商贸职业学院</w:t>
      </w:r>
    </w:p>
    <w:p w14:paraId="43135133">
      <w:pPr>
        <w:pStyle w:val="23"/>
        <w:spacing w:line="360" w:lineRule="auto"/>
        <w:ind w:left="0" w:leftChars="0"/>
        <w:jc w:val="center"/>
        <w:rPr>
          <w:rFonts w:ascii="宋体" w:hAnsi="宋体" w:eastAsia="宋体" w:cs="宋体"/>
          <w:b/>
          <w:bCs/>
          <w:sz w:val="44"/>
        </w:rPr>
      </w:pPr>
      <w:r>
        <w:rPr>
          <w:rFonts w:hint="eastAsia" w:ascii="宋体" w:hAnsi="宋体" w:eastAsia="宋体" w:cs="宋体"/>
          <w:b/>
          <w:sz w:val="32"/>
          <w:szCs w:val="32"/>
        </w:rPr>
        <w:t>二〇二六年</w:t>
      </w:r>
      <w:r>
        <w:rPr>
          <w:rFonts w:hint="eastAsia" w:ascii="宋体" w:hAnsi="宋体" w:cs="宋体"/>
          <w:b/>
          <w:sz w:val="32"/>
          <w:szCs w:val="32"/>
          <w:lang w:val="en-US" w:eastAsia="zh-CN"/>
        </w:rPr>
        <w:t>九</w:t>
      </w:r>
      <w:r>
        <w:rPr>
          <w:rFonts w:hint="eastAsia" w:ascii="宋体" w:hAnsi="宋体" w:eastAsia="宋体" w:cs="宋体"/>
          <w:b/>
          <w:sz w:val="32"/>
          <w:szCs w:val="32"/>
        </w:rPr>
        <w:t>月</w:t>
      </w:r>
    </w:p>
    <w:p w14:paraId="4E7E6016">
      <w:pPr>
        <w:pStyle w:val="2"/>
        <w:spacing w:before="100" w:beforeAutospacing="1" w:after="100" w:afterAutospacing="1" w:line="480" w:lineRule="exact"/>
        <w:jc w:val="center"/>
        <w:rPr>
          <w:rFonts w:ascii="宋体" w:cs="宋体"/>
          <w:color w:val="auto"/>
          <w:sz w:val="36"/>
          <w:highlight w:val="none"/>
        </w:rPr>
      </w:pPr>
      <w:r>
        <w:rPr>
          <w:rFonts w:hint="eastAsia" w:ascii="宋体" w:cs="宋体"/>
          <w:color w:val="auto"/>
          <w:sz w:val="36"/>
          <w:highlight w:val="none"/>
        </w:rPr>
        <w:t>第一章 投标人须知及投标人须知前附表</w:t>
      </w:r>
      <w:bookmarkEnd w:id="0"/>
      <w:bookmarkEnd w:id="1"/>
      <w:bookmarkEnd w:id="2"/>
      <w:bookmarkEnd w:id="3"/>
      <w:bookmarkEnd w:id="4"/>
    </w:p>
    <w:p w14:paraId="4E7E6017">
      <w:pPr>
        <w:pStyle w:val="3"/>
        <w:spacing w:before="156" w:beforeLines="50" w:after="156" w:afterLines="50" w:line="480" w:lineRule="exact"/>
        <w:jc w:val="center"/>
        <w:rPr>
          <w:rFonts w:ascii="宋体" w:eastAsia="宋体" w:cs="宋体"/>
          <w:color w:val="auto"/>
          <w:sz w:val="30"/>
          <w:highlight w:val="none"/>
        </w:rPr>
      </w:pPr>
      <w:bookmarkStart w:id="5" w:name="_Toc380681231"/>
      <w:bookmarkStart w:id="6" w:name="_Toc380681012"/>
      <w:bookmarkStart w:id="7" w:name="_Toc380680819"/>
      <w:bookmarkStart w:id="8" w:name="_Toc380680179"/>
      <w:r>
        <w:rPr>
          <w:rFonts w:hint="eastAsia" w:ascii="宋体" w:eastAsia="宋体" w:cs="宋体"/>
          <w:color w:val="auto"/>
          <w:sz w:val="30"/>
          <w:highlight w:val="none"/>
        </w:rPr>
        <w:t>一、投标人须知前附表</w:t>
      </w:r>
      <w:bookmarkEnd w:id="5"/>
      <w:bookmarkEnd w:id="6"/>
      <w:bookmarkEnd w:id="7"/>
      <w:bookmarkEnd w:id="8"/>
    </w:p>
    <w:tbl>
      <w:tblPr>
        <w:tblStyle w:val="35"/>
        <w:tblW w:w="1002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079"/>
        <w:gridCol w:w="2120"/>
        <w:gridCol w:w="5924"/>
      </w:tblGrid>
      <w:tr w14:paraId="4E7E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blHeader/>
        </w:trPr>
        <w:tc>
          <w:tcPr>
            <w:tcW w:w="901" w:type="dxa"/>
            <w:vAlign w:val="center"/>
          </w:tcPr>
          <w:p w14:paraId="4E7E6018">
            <w:pPr>
              <w:spacing w:line="360" w:lineRule="exact"/>
              <w:ind w:left="69" w:leftChars="20" w:right="42" w:rightChars="20" w:hanging="27" w:hangingChars="11"/>
              <w:jc w:val="center"/>
              <w:rPr>
                <w:rFonts w:ascii="宋体" w:cs="宋体"/>
                <w:b/>
                <w:color w:val="auto"/>
                <w:sz w:val="24"/>
                <w:highlight w:val="none"/>
              </w:rPr>
            </w:pPr>
            <w:r>
              <w:rPr>
                <w:rFonts w:hint="eastAsia" w:ascii="宋体" w:cs="宋体"/>
                <w:b/>
                <w:color w:val="auto"/>
                <w:sz w:val="24"/>
                <w:highlight w:val="none"/>
              </w:rPr>
              <w:t>项号</w:t>
            </w:r>
          </w:p>
        </w:tc>
        <w:tc>
          <w:tcPr>
            <w:tcW w:w="1079" w:type="dxa"/>
            <w:vAlign w:val="center"/>
          </w:tcPr>
          <w:p w14:paraId="4E7E6019">
            <w:pPr>
              <w:spacing w:line="360" w:lineRule="exact"/>
              <w:ind w:left="42" w:leftChars="20" w:right="42" w:rightChars="20"/>
              <w:jc w:val="center"/>
              <w:rPr>
                <w:rFonts w:ascii="宋体" w:cs="宋体"/>
                <w:b/>
                <w:color w:val="auto"/>
                <w:sz w:val="24"/>
                <w:highlight w:val="none"/>
              </w:rPr>
            </w:pPr>
            <w:r>
              <w:rPr>
                <w:rFonts w:hint="eastAsia" w:ascii="宋体" w:cs="宋体"/>
                <w:b/>
                <w:color w:val="auto"/>
                <w:sz w:val="24"/>
                <w:highlight w:val="none"/>
              </w:rPr>
              <w:t>条款号</w:t>
            </w:r>
          </w:p>
        </w:tc>
        <w:tc>
          <w:tcPr>
            <w:tcW w:w="2120" w:type="dxa"/>
            <w:vAlign w:val="center"/>
          </w:tcPr>
          <w:p w14:paraId="4E7E601A">
            <w:pPr>
              <w:spacing w:line="360" w:lineRule="exact"/>
              <w:ind w:left="42" w:leftChars="20" w:right="42" w:rightChars="20"/>
              <w:jc w:val="center"/>
              <w:rPr>
                <w:rFonts w:ascii="宋体" w:cs="宋体"/>
                <w:b/>
                <w:color w:val="auto"/>
                <w:sz w:val="24"/>
                <w:highlight w:val="none"/>
              </w:rPr>
            </w:pPr>
            <w:r>
              <w:rPr>
                <w:rFonts w:hint="eastAsia" w:ascii="宋体" w:cs="宋体"/>
                <w:b/>
                <w:color w:val="auto"/>
                <w:sz w:val="24"/>
                <w:highlight w:val="none"/>
              </w:rPr>
              <w:t>内    容</w:t>
            </w:r>
          </w:p>
        </w:tc>
        <w:tc>
          <w:tcPr>
            <w:tcW w:w="5924" w:type="dxa"/>
            <w:vAlign w:val="center"/>
          </w:tcPr>
          <w:p w14:paraId="4E7E601B">
            <w:pPr>
              <w:spacing w:line="360" w:lineRule="exact"/>
              <w:ind w:left="42" w:leftChars="20" w:right="42" w:rightChars="20"/>
              <w:jc w:val="center"/>
              <w:rPr>
                <w:rFonts w:ascii="宋体" w:cs="宋体"/>
                <w:b/>
                <w:color w:val="auto"/>
                <w:sz w:val="24"/>
                <w:highlight w:val="none"/>
              </w:rPr>
            </w:pPr>
            <w:r>
              <w:rPr>
                <w:rFonts w:hint="eastAsia" w:ascii="宋体" w:cs="宋体"/>
                <w:b/>
                <w:color w:val="auto"/>
                <w:sz w:val="24"/>
                <w:highlight w:val="none"/>
              </w:rPr>
              <w:t>说 明 与 要 求</w:t>
            </w:r>
          </w:p>
        </w:tc>
      </w:tr>
      <w:tr w14:paraId="4E7E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01" w:type="dxa"/>
            <w:vAlign w:val="center"/>
          </w:tcPr>
          <w:p w14:paraId="4E7E601D">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w:t>
            </w:r>
          </w:p>
        </w:tc>
        <w:tc>
          <w:tcPr>
            <w:tcW w:w="1079" w:type="dxa"/>
            <w:vAlign w:val="center"/>
          </w:tcPr>
          <w:p w14:paraId="4E7E601E">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1.1</w:t>
            </w:r>
          </w:p>
        </w:tc>
        <w:tc>
          <w:tcPr>
            <w:tcW w:w="2120" w:type="dxa"/>
            <w:vAlign w:val="center"/>
          </w:tcPr>
          <w:p w14:paraId="4E7E601F">
            <w:pPr>
              <w:spacing w:line="360" w:lineRule="exact"/>
              <w:ind w:left="42" w:leftChars="20" w:right="42" w:rightChars="20"/>
              <w:jc w:val="center"/>
              <w:rPr>
                <w:rFonts w:ascii="宋体" w:cs="宋体"/>
                <w:color w:val="auto"/>
                <w:kern w:val="11"/>
                <w:sz w:val="24"/>
                <w:highlight w:val="none"/>
              </w:rPr>
            </w:pPr>
            <w:r>
              <w:rPr>
                <w:rFonts w:hint="eastAsia" w:ascii="宋体" w:cs="宋体"/>
                <w:color w:val="auto"/>
                <w:kern w:val="11"/>
                <w:sz w:val="24"/>
                <w:highlight w:val="none"/>
              </w:rPr>
              <w:t>工程名称</w:t>
            </w:r>
          </w:p>
        </w:tc>
        <w:tc>
          <w:tcPr>
            <w:tcW w:w="5924" w:type="dxa"/>
            <w:vAlign w:val="center"/>
          </w:tcPr>
          <w:p w14:paraId="4E7E6020">
            <w:pPr>
              <w:spacing w:line="360" w:lineRule="exact"/>
              <w:ind w:left="42" w:leftChars="20" w:right="42" w:rightChars="20"/>
              <w:jc w:val="left"/>
              <w:rPr>
                <w:rFonts w:ascii="宋体" w:cs="宋体"/>
                <w:color w:val="auto"/>
                <w:kern w:val="11"/>
                <w:sz w:val="24"/>
                <w:highlight w:val="none"/>
              </w:rPr>
            </w:pPr>
            <w:r>
              <w:rPr>
                <w:rFonts w:hint="eastAsia" w:ascii="宋体" w:cs="宋体"/>
                <w:color w:val="auto"/>
                <w:kern w:val="11"/>
                <w:sz w:val="24"/>
                <w:highlight w:val="none"/>
              </w:rPr>
              <w:t>江苏商贸职业学院零星维修工程施工队伍招标项目</w:t>
            </w:r>
          </w:p>
        </w:tc>
      </w:tr>
      <w:tr w14:paraId="4E7E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901" w:type="dxa"/>
            <w:vAlign w:val="center"/>
          </w:tcPr>
          <w:p w14:paraId="4E7E6022">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w:t>
            </w:r>
          </w:p>
        </w:tc>
        <w:tc>
          <w:tcPr>
            <w:tcW w:w="1079" w:type="dxa"/>
            <w:vAlign w:val="center"/>
          </w:tcPr>
          <w:p w14:paraId="4E7E6023">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1.1</w:t>
            </w:r>
          </w:p>
        </w:tc>
        <w:tc>
          <w:tcPr>
            <w:tcW w:w="2120" w:type="dxa"/>
            <w:vAlign w:val="center"/>
          </w:tcPr>
          <w:p w14:paraId="4E7E6024">
            <w:pPr>
              <w:spacing w:line="360" w:lineRule="exact"/>
              <w:ind w:left="42" w:leftChars="20" w:right="42" w:rightChars="20"/>
              <w:jc w:val="center"/>
              <w:rPr>
                <w:rFonts w:ascii="宋体" w:cs="宋体"/>
                <w:color w:val="auto"/>
                <w:kern w:val="11"/>
                <w:sz w:val="24"/>
                <w:highlight w:val="none"/>
              </w:rPr>
            </w:pPr>
            <w:r>
              <w:rPr>
                <w:rFonts w:hint="eastAsia" w:ascii="宋体" w:cs="宋体"/>
                <w:color w:val="auto"/>
                <w:kern w:val="11"/>
                <w:sz w:val="24"/>
                <w:highlight w:val="none"/>
              </w:rPr>
              <w:t>建设地点</w:t>
            </w:r>
          </w:p>
        </w:tc>
        <w:tc>
          <w:tcPr>
            <w:tcW w:w="5924" w:type="dxa"/>
            <w:vAlign w:val="center"/>
          </w:tcPr>
          <w:p w14:paraId="4E7E6025">
            <w:pPr>
              <w:spacing w:line="360" w:lineRule="exact"/>
              <w:ind w:left="42" w:leftChars="20" w:right="42" w:rightChars="20"/>
              <w:rPr>
                <w:rFonts w:ascii="宋体" w:cs="宋体"/>
                <w:color w:val="auto"/>
                <w:kern w:val="11"/>
                <w:sz w:val="24"/>
                <w:highlight w:val="none"/>
              </w:rPr>
            </w:pPr>
            <w:r>
              <w:rPr>
                <w:rFonts w:hint="eastAsia" w:ascii="宋体" w:cs="宋体"/>
                <w:color w:val="auto"/>
                <w:kern w:val="11"/>
                <w:sz w:val="24"/>
                <w:highlight w:val="none"/>
              </w:rPr>
              <w:t>江苏商贸职业学院校本部范围内（不含通州湾校区、汇通公寓），校本部位于南通市崇川区江通路</w:t>
            </w:r>
            <w:r>
              <w:rPr>
                <w:rFonts w:ascii="宋体" w:cs="宋体"/>
                <w:color w:val="auto"/>
                <w:kern w:val="11"/>
                <w:sz w:val="24"/>
                <w:highlight w:val="none"/>
              </w:rPr>
              <w:t>48</w:t>
            </w:r>
            <w:r>
              <w:rPr>
                <w:rFonts w:hint="eastAsia" w:ascii="宋体" w:cs="宋体"/>
                <w:color w:val="auto"/>
                <w:kern w:val="11"/>
                <w:sz w:val="24"/>
                <w:highlight w:val="none"/>
              </w:rPr>
              <w:t>号</w:t>
            </w:r>
          </w:p>
        </w:tc>
      </w:tr>
      <w:tr w14:paraId="4E7E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1" w:type="dxa"/>
            <w:vAlign w:val="center"/>
          </w:tcPr>
          <w:p w14:paraId="4E7E6027">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3</w:t>
            </w:r>
          </w:p>
        </w:tc>
        <w:tc>
          <w:tcPr>
            <w:tcW w:w="1079" w:type="dxa"/>
            <w:vAlign w:val="center"/>
          </w:tcPr>
          <w:p w14:paraId="4E7E6028">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1.1</w:t>
            </w:r>
          </w:p>
        </w:tc>
        <w:tc>
          <w:tcPr>
            <w:tcW w:w="2120" w:type="dxa"/>
            <w:vAlign w:val="center"/>
          </w:tcPr>
          <w:p w14:paraId="4E7E6029">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建设规模</w:t>
            </w:r>
          </w:p>
        </w:tc>
        <w:tc>
          <w:tcPr>
            <w:tcW w:w="5924" w:type="dxa"/>
            <w:vAlign w:val="center"/>
          </w:tcPr>
          <w:p w14:paraId="4E7E602A">
            <w:pPr>
              <w:spacing w:line="360" w:lineRule="exact"/>
              <w:ind w:left="42" w:leftChars="20" w:right="42" w:rightChars="20"/>
              <w:rPr>
                <w:rFonts w:ascii="宋体" w:cs="宋体"/>
                <w:color w:val="auto"/>
                <w:kern w:val="11"/>
                <w:sz w:val="24"/>
                <w:highlight w:val="none"/>
              </w:rPr>
            </w:pPr>
            <w:r>
              <w:rPr>
                <w:rFonts w:hint="eastAsia" w:ascii="宋体" w:cs="宋体"/>
                <w:color w:val="auto"/>
                <w:kern w:val="11"/>
                <w:sz w:val="24"/>
                <w:highlight w:val="none"/>
                <w:lang w:val="en-US" w:eastAsia="zh-CN"/>
              </w:rPr>
              <w:t>约30万元/年，最终</w:t>
            </w:r>
            <w:r>
              <w:rPr>
                <w:rFonts w:hint="eastAsia" w:ascii="宋体" w:cs="宋体"/>
                <w:color w:val="auto"/>
                <w:kern w:val="11"/>
                <w:sz w:val="24"/>
                <w:highlight w:val="none"/>
              </w:rPr>
              <w:t>以实际发生为准。</w:t>
            </w:r>
          </w:p>
        </w:tc>
      </w:tr>
      <w:tr w14:paraId="4E7E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01" w:type="dxa"/>
            <w:vAlign w:val="center"/>
          </w:tcPr>
          <w:p w14:paraId="4E7E602C">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4</w:t>
            </w:r>
          </w:p>
        </w:tc>
        <w:tc>
          <w:tcPr>
            <w:tcW w:w="1079" w:type="dxa"/>
            <w:vAlign w:val="center"/>
          </w:tcPr>
          <w:p w14:paraId="4E7E602D">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1.1</w:t>
            </w:r>
          </w:p>
        </w:tc>
        <w:tc>
          <w:tcPr>
            <w:tcW w:w="2120" w:type="dxa"/>
            <w:vAlign w:val="center"/>
          </w:tcPr>
          <w:p w14:paraId="4E7E602E">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承包方式</w:t>
            </w:r>
          </w:p>
        </w:tc>
        <w:tc>
          <w:tcPr>
            <w:tcW w:w="5924" w:type="dxa"/>
            <w:vAlign w:val="center"/>
          </w:tcPr>
          <w:p w14:paraId="4E7E602F">
            <w:pPr>
              <w:spacing w:line="360" w:lineRule="exact"/>
              <w:ind w:left="42" w:leftChars="20" w:right="42" w:rightChars="20"/>
              <w:rPr>
                <w:rFonts w:ascii="宋体" w:cs="宋体"/>
                <w:color w:val="auto"/>
                <w:sz w:val="24"/>
                <w:highlight w:val="none"/>
              </w:rPr>
            </w:pPr>
            <w:r>
              <w:rPr>
                <w:rFonts w:hint="eastAsia" w:ascii="宋体" w:cs="宋体"/>
                <w:color w:val="auto"/>
                <w:sz w:val="24"/>
                <w:highlight w:val="none"/>
              </w:rPr>
              <w:t>包工包料</w:t>
            </w:r>
          </w:p>
        </w:tc>
      </w:tr>
      <w:tr w14:paraId="4E7E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1" w:type="dxa"/>
            <w:vAlign w:val="center"/>
          </w:tcPr>
          <w:p w14:paraId="4E7E6031">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5</w:t>
            </w:r>
          </w:p>
        </w:tc>
        <w:tc>
          <w:tcPr>
            <w:tcW w:w="1079" w:type="dxa"/>
            <w:vAlign w:val="center"/>
          </w:tcPr>
          <w:p w14:paraId="4E7E6032">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1.1</w:t>
            </w:r>
          </w:p>
        </w:tc>
        <w:tc>
          <w:tcPr>
            <w:tcW w:w="2120" w:type="dxa"/>
            <w:vAlign w:val="center"/>
          </w:tcPr>
          <w:p w14:paraId="4E7E6033">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质量标准</w:t>
            </w:r>
          </w:p>
        </w:tc>
        <w:tc>
          <w:tcPr>
            <w:tcW w:w="5924" w:type="dxa"/>
            <w:vAlign w:val="center"/>
          </w:tcPr>
          <w:p w14:paraId="4E7E6034">
            <w:pPr>
              <w:spacing w:line="360" w:lineRule="exact"/>
              <w:ind w:left="42" w:leftChars="20" w:right="42" w:rightChars="20"/>
              <w:rPr>
                <w:rFonts w:ascii="宋体" w:cs="宋体"/>
                <w:color w:val="auto"/>
                <w:sz w:val="24"/>
                <w:highlight w:val="none"/>
              </w:rPr>
            </w:pPr>
            <w:r>
              <w:rPr>
                <w:rFonts w:hint="eastAsia" w:ascii="宋体" w:cs="宋体"/>
                <w:color w:val="auto"/>
                <w:sz w:val="24"/>
                <w:highlight w:val="none"/>
              </w:rPr>
              <w:t xml:space="preserve">合格 </w:t>
            </w:r>
          </w:p>
        </w:tc>
      </w:tr>
      <w:tr w14:paraId="4E7E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01" w:type="dxa"/>
            <w:vAlign w:val="center"/>
          </w:tcPr>
          <w:p w14:paraId="4E7E6036">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6</w:t>
            </w:r>
          </w:p>
        </w:tc>
        <w:tc>
          <w:tcPr>
            <w:tcW w:w="1079" w:type="dxa"/>
            <w:vAlign w:val="center"/>
          </w:tcPr>
          <w:p w14:paraId="4E7E6037">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1.1</w:t>
            </w:r>
          </w:p>
        </w:tc>
        <w:tc>
          <w:tcPr>
            <w:tcW w:w="2120" w:type="dxa"/>
            <w:vAlign w:val="center"/>
          </w:tcPr>
          <w:p w14:paraId="4E7E6038">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服务期限</w:t>
            </w:r>
          </w:p>
        </w:tc>
        <w:tc>
          <w:tcPr>
            <w:tcW w:w="5924" w:type="dxa"/>
            <w:vAlign w:val="center"/>
          </w:tcPr>
          <w:p w14:paraId="4E7E6039">
            <w:pPr>
              <w:spacing w:line="460" w:lineRule="exact"/>
              <w:rPr>
                <w:rFonts w:ascii="宋体" w:cs="宋体"/>
                <w:color w:val="auto"/>
                <w:sz w:val="24"/>
                <w:highlight w:val="none"/>
              </w:rPr>
            </w:pPr>
            <w:r>
              <w:rPr>
                <w:rFonts w:hint="eastAsia" w:ascii="宋体" w:cs="宋体"/>
                <w:color w:val="auto"/>
                <w:sz w:val="24"/>
                <w:highlight w:val="none"/>
              </w:rPr>
              <w:t>招标有效期为3年,合同一年一签，如中标方能严格按照招标文件要求提供服从招标方的管理、维修质量好、无安全责任事故、服务周到，无投诉，且双方达成一致，经招标方同意，中标价不变，续签合同N年(N≦2)。</w:t>
            </w:r>
          </w:p>
        </w:tc>
      </w:tr>
      <w:tr w14:paraId="4E7E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01" w:type="dxa"/>
            <w:vAlign w:val="center"/>
          </w:tcPr>
          <w:p w14:paraId="4E7E603B">
            <w:pPr>
              <w:spacing w:line="360" w:lineRule="exact"/>
              <w:ind w:left="42" w:leftChars="20" w:right="42" w:rightChars="20"/>
              <w:jc w:val="center"/>
              <w:rPr>
                <w:rFonts w:ascii="宋体" w:cs="宋体"/>
                <w:color w:val="auto"/>
                <w:sz w:val="24"/>
                <w:highlight w:val="none"/>
              </w:rPr>
            </w:pPr>
          </w:p>
        </w:tc>
        <w:tc>
          <w:tcPr>
            <w:tcW w:w="1079" w:type="dxa"/>
            <w:vAlign w:val="center"/>
          </w:tcPr>
          <w:p w14:paraId="4E7E603C">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1.1</w:t>
            </w:r>
          </w:p>
        </w:tc>
        <w:tc>
          <w:tcPr>
            <w:tcW w:w="2120" w:type="dxa"/>
            <w:vAlign w:val="center"/>
          </w:tcPr>
          <w:p w14:paraId="4E7E603D">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工期要求</w:t>
            </w:r>
          </w:p>
        </w:tc>
        <w:tc>
          <w:tcPr>
            <w:tcW w:w="5924" w:type="dxa"/>
            <w:vAlign w:val="center"/>
          </w:tcPr>
          <w:p w14:paraId="4E7E603E">
            <w:pPr>
              <w:spacing w:line="360" w:lineRule="exact"/>
              <w:ind w:right="42" w:rightChars="20"/>
              <w:rPr>
                <w:rFonts w:ascii="宋体" w:cs="宋体"/>
                <w:color w:val="auto"/>
                <w:sz w:val="24"/>
                <w:highlight w:val="none"/>
              </w:rPr>
            </w:pPr>
            <w:r>
              <w:rPr>
                <w:rFonts w:hint="eastAsia" w:ascii="宋体" w:cs="宋体"/>
                <w:color w:val="auto"/>
                <w:sz w:val="24"/>
                <w:highlight w:val="none"/>
              </w:rPr>
              <w:t>按实际工程由招标人确定。</w:t>
            </w:r>
          </w:p>
        </w:tc>
      </w:tr>
      <w:tr w14:paraId="4E7E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01" w:type="dxa"/>
            <w:vAlign w:val="center"/>
          </w:tcPr>
          <w:p w14:paraId="4E7E6040">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7</w:t>
            </w:r>
          </w:p>
        </w:tc>
        <w:tc>
          <w:tcPr>
            <w:tcW w:w="1079" w:type="dxa"/>
            <w:vAlign w:val="center"/>
          </w:tcPr>
          <w:p w14:paraId="4E7E6041">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1.2</w:t>
            </w:r>
          </w:p>
        </w:tc>
        <w:tc>
          <w:tcPr>
            <w:tcW w:w="2120" w:type="dxa"/>
            <w:vAlign w:val="center"/>
          </w:tcPr>
          <w:p w14:paraId="4E7E6042">
            <w:pPr>
              <w:spacing w:line="360" w:lineRule="exac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招标范围</w:t>
            </w:r>
          </w:p>
        </w:tc>
        <w:tc>
          <w:tcPr>
            <w:tcW w:w="5924" w:type="dxa"/>
            <w:vAlign w:val="center"/>
          </w:tcPr>
          <w:p w14:paraId="4E7E6043">
            <w:pPr>
              <w:spacing w:line="360" w:lineRule="exact"/>
              <w:ind w:left="42" w:leftChars="20" w:right="42" w:rightChars="20"/>
              <w:rPr>
                <w:rFonts w:ascii="宋体" w:cs="宋体"/>
                <w:color w:val="auto"/>
                <w:kern w:val="0"/>
                <w:sz w:val="24"/>
                <w:highlight w:val="none"/>
              </w:rPr>
            </w:pPr>
            <w:r>
              <w:rPr>
                <w:rFonts w:hint="eastAsia" w:ascii="宋体" w:cs="宋体"/>
                <w:color w:val="auto"/>
                <w:kern w:val="11"/>
                <w:sz w:val="24"/>
                <w:highlight w:val="none"/>
              </w:rPr>
              <w:t>工程造价5万元以内（含5万元）零星维修工程（包括小零修、中修、专项、应急抢险维修工程，涵盖水电、土建、幕墙及登高作业等零星工程），其中特种设备有第三方维保单位的，如电梯、消防、燃气、高压不在本次招标范围。</w:t>
            </w:r>
          </w:p>
        </w:tc>
      </w:tr>
      <w:tr w14:paraId="4E7E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901" w:type="dxa"/>
            <w:vAlign w:val="center"/>
          </w:tcPr>
          <w:p w14:paraId="4E7E6045">
            <w:pPr>
              <w:spacing w:line="360" w:lineRule="exac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8</w:t>
            </w:r>
          </w:p>
        </w:tc>
        <w:tc>
          <w:tcPr>
            <w:tcW w:w="1079" w:type="dxa"/>
            <w:vAlign w:val="center"/>
          </w:tcPr>
          <w:p w14:paraId="4E7E6046">
            <w:pPr>
              <w:spacing w:line="360" w:lineRule="exact"/>
              <w:ind w:left="42" w:leftChars="20" w:right="42" w:rightChars="20"/>
              <w:jc w:val="center"/>
              <w:rPr>
                <w:rFonts w:ascii="宋体" w:cs="宋体"/>
                <w:color w:val="auto"/>
                <w:sz w:val="24"/>
                <w:highlight w:val="none"/>
              </w:rPr>
            </w:pPr>
          </w:p>
        </w:tc>
        <w:tc>
          <w:tcPr>
            <w:tcW w:w="2120" w:type="dxa"/>
            <w:vAlign w:val="center"/>
          </w:tcPr>
          <w:p w14:paraId="4E7E6047">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资金来源</w:t>
            </w:r>
          </w:p>
        </w:tc>
        <w:tc>
          <w:tcPr>
            <w:tcW w:w="5924" w:type="dxa"/>
            <w:vAlign w:val="center"/>
          </w:tcPr>
          <w:p w14:paraId="4E7E6048">
            <w:pPr>
              <w:spacing w:line="360" w:lineRule="exact"/>
              <w:ind w:left="42" w:leftChars="20" w:right="42" w:rightChars="20"/>
              <w:rPr>
                <w:rFonts w:ascii="宋体" w:cs="宋体"/>
                <w:color w:val="auto"/>
                <w:sz w:val="24"/>
                <w:highlight w:val="none"/>
              </w:rPr>
            </w:pPr>
            <w:r>
              <w:rPr>
                <w:rFonts w:hint="eastAsia" w:ascii="宋体" w:cs="宋体"/>
                <w:color w:val="auto"/>
                <w:sz w:val="24"/>
                <w:highlight w:val="none"/>
              </w:rPr>
              <w:t>财政</w:t>
            </w:r>
          </w:p>
        </w:tc>
      </w:tr>
      <w:tr w14:paraId="4E7E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01" w:type="dxa"/>
            <w:vAlign w:val="center"/>
          </w:tcPr>
          <w:p w14:paraId="4E7E604A">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9</w:t>
            </w:r>
          </w:p>
        </w:tc>
        <w:tc>
          <w:tcPr>
            <w:tcW w:w="1079" w:type="dxa"/>
            <w:vAlign w:val="center"/>
          </w:tcPr>
          <w:p w14:paraId="4E7E604B">
            <w:pPr>
              <w:spacing w:line="360" w:lineRule="exac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4</w:t>
            </w:r>
          </w:p>
        </w:tc>
        <w:tc>
          <w:tcPr>
            <w:tcW w:w="2120" w:type="dxa"/>
            <w:vAlign w:val="center"/>
          </w:tcPr>
          <w:p w14:paraId="4E7E604C">
            <w:pPr>
              <w:spacing w:line="360" w:lineRule="exac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踏勘现场</w:t>
            </w:r>
          </w:p>
        </w:tc>
        <w:tc>
          <w:tcPr>
            <w:tcW w:w="5924" w:type="dxa"/>
            <w:vAlign w:val="center"/>
          </w:tcPr>
          <w:p w14:paraId="4E7E604D">
            <w:pPr>
              <w:spacing w:line="360" w:lineRule="exact"/>
              <w:ind w:left="42" w:leftChars="20" w:right="42" w:rightChars="20"/>
              <w:jc w:val="left"/>
              <w:rPr>
                <w:rFonts w:ascii="宋体" w:cs="宋体"/>
                <w:color w:val="auto"/>
                <w:kern w:val="11"/>
                <w:sz w:val="24"/>
                <w:highlight w:val="none"/>
              </w:rPr>
            </w:pPr>
            <w:r>
              <w:rPr>
                <w:rFonts w:hint="eastAsia" w:ascii="宋体" w:cs="宋体"/>
                <w:color w:val="auto"/>
                <w:sz w:val="24"/>
                <w:highlight w:val="none"/>
              </w:rPr>
              <w:t>投标人自行踏勘现场</w:t>
            </w:r>
          </w:p>
        </w:tc>
      </w:tr>
      <w:tr w14:paraId="4E7E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01" w:type="dxa"/>
            <w:vAlign w:val="center"/>
          </w:tcPr>
          <w:p w14:paraId="4E7E604F">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10</w:t>
            </w:r>
          </w:p>
        </w:tc>
        <w:tc>
          <w:tcPr>
            <w:tcW w:w="1079" w:type="dxa"/>
            <w:vAlign w:val="center"/>
          </w:tcPr>
          <w:p w14:paraId="4E7E6050">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6.2</w:t>
            </w:r>
          </w:p>
        </w:tc>
        <w:tc>
          <w:tcPr>
            <w:tcW w:w="2120" w:type="dxa"/>
            <w:vAlign w:val="center"/>
          </w:tcPr>
          <w:p w14:paraId="4E7E6051">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提交疑问材料</w:t>
            </w:r>
          </w:p>
          <w:p w14:paraId="4E7E6052">
            <w:pPr>
              <w:spacing w:line="360" w:lineRule="exact"/>
              <w:ind w:left="42" w:leftChars="20" w:right="42" w:rightChars="20"/>
              <w:jc w:val="center"/>
              <w:rPr>
                <w:rFonts w:ascii="宋体" w:cs="宋体"/>
                <w:color w:val="auto"/>
                <w:kern w:val="0"/>
                <w:sz w:val="24"/>
                <w:highlight w:val="none"/>
              </w:rPr>
            </w:pPr>
            <w:r>
              <w:rPr>
                <w:rFonts w:hint="eastAsia" w:ascii="宋体" w:cs="宋体"/>
                <w:color w:val="auto"/>
                <w:sz w:val="24"/>
                <w:highlight w:val="none"/>
              </w:rPr>
              <w:t>时间及方式</w:t>
            </w:r>
          </w:p>
        </w:tc>
        <w:tc>
          <w:tcPr>
            <w:tcW w:w="5924" w:type="dxa"/>
            <w:vAlign w:val="center"/>
          </w:tcPr>
          <w:p w14:paraId="4E7E6053">
            <w:pPr>
              <w:spacing w:line="360" w:lineRule="exact"/>
              <w:ind w:left="42" w:leftChars="20" w:right="42" w:rightChars="20"/>
              <w:jc w:val="left"/>
              <w:rPr>
                <w:rFonts w:ascii="宋体" w:cs="宋体"/>
                <w:color w:val="auto"/>
                <w:sz w:val="24"/>
                <w:highlight w:val="none"/>
              </w:rPr>
            </w:pPr>
            <w:r>
              <w:rPr>
                <w:rFonts w:hint="eastAsia" w:ascii="宋体" w:cs="宋体"/>
                <w:color w:val="auto"/>
                <w:sz w:val="24"/>
                <w:highlight w:val="none"/>
              </w:rPr>
              <w:t>如有疑问需要招标人澄清应在</w:t>
            </w:r>
            <w:r>
              <w:rPr>
                <w:rFonts w:hint="eastAsia" w:ascii="宋体" w:cs="宋体"/>
                <w:color w:val="auto"/>
                <w:sz w:val="24"/>
                <w:highlight w:val="none"/>
                <w:u w:val="single"/>
              </w:rPr>
              <w:t>202</w:t>
            </w:r>
            <w:r>
              <w:rPr>
                <w:rFonts w:ascii="宋体" w:cs="宋体"/>
                <w:color w:val="auto"/>
                <w:sz w:val="24"/>
                <w:highlight w:val="none"/>
                <w:u w:val="single"/>
              </w:rPr>
              <w:t>6</w:t>
            </w:r>
            <w:r>
              <w:rPr>
                <w:rFonts w:hint="eastAsia" w:ascii="宋体" w:cs="宋体"/>
                <w:color w:val="auto"/>
                <w:sz w:val="24"/>
                <w:highlight w:val="none"/>
                <w:u w:val="single"/>
              </w:rPr>
              <w:t>年</w:t>
            </w:r>
            <w:r>
              <w:rPr>
                <w:rFonts w:hint="eastAsia" w:ascii="宋体" w:cs="宋体"/>
                <w:color w:val="auto"/>
                <w:sz w:val="24"/>
                <w:highlight w:val="none"/>
                <w:u w:val="single"/>
                <w:lang w:val="en-US" w:eastAsia="zh-CN"/>
              </w:rPr>
              <w:t>9</w:t>
            </w:r>
            <w:r>
              <w:rPr>
                <w:rFonts w:hint="eastAsia" w:ascii="宋体" w:cs="宋体"/>
                <w:color w:val="auto"/>
                <w:sz w:val="24"/>
                <w:highlight w:val="none"/>
                <w:u w:val="single"/>
              </w:rPr>
              <w:t>月</w:t>
            </w:r>
            <w:r>
              <w:rPr>
                <w:rFonts w:hint="eastAsia" w:ascii="宋体" w:cs="宋体"/>
                <w:color w:val="auto"/>
                <w:sz w:val="24"/>
                <w:highlight w:val="none"/>
                <w:u w:val="single"/>
                <w:lang w:val="en-US" w:eastAsia="zh-CN"/>
              </w:rPr>
              <w:t>9</w:t>
            </w:r>
            <w:r>
              <w:rPr>
                <w:rFonts w:hint="eastAsia" w:ascii="宋体" w:cs="宋体"/>
                <w:color w:val="auto"/>
                <w:sz w:val="24"/>
                <w:highlight w:val="none"/>
                <w:u w:val="single"/>
              </w:rPr>
              <w:t>日17时</w:t>
            </w:r>
            <w:r>
              <w:rPr>
                <w:rFonts w:hint="eastAsia" w:ascii="宋体" w:cs="宋体"/>
                <w:color w:val="auto"/>
                <w:sz w:val="24"/>
                <w:highlight w:val="none"/>
              </w:rPr>
              <w:t>前以电子文件形式（不具单位名称、不加盖单位公章）发送至指定邮箱458101863@qq.com向招标人提出，招标人予以解答，解答的内容在：江苏商贸职业学院校园网公布。</w:t>
            </w:r>
          </w:p>
        </w:tc>
      </w:tr>
      <w:tr w14:paraId="4E7E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901" w:type="dxa"/>
            <w:vAlign w:val="center"/>
          </w:tcPr>
          <w:p w14:paraId="4E7E6055">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11</w:t>
            </w:r>
          </w:p>
        </w:tc>
        <w:tc>
          <w:tcPr>
            <w:tcW w:w="1079" w:type="dxa"/>
            <w:vAlign w:val="center"/>
          </w:tcPr>
          <w:p w14:paraId="4E7E6056">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6.2</w:t>
            </w:r>
          </w:p>
        </w:tc>
        <w:tc>
          <w:tcPr>
            <w:tcW w:w="2120" w:type="dxa"/>
            <w:vAlign w:val="center"/>
          </w:tcPr>
          <w:p w14:paraId="4E7E6057">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招标文件答疑、澄清发布时间</w:t>
            </w:r>
          </w:p>
        </w:tc>
        <w:tc>
          <w:tcPr>
            <w:tcW w:w="5924" w:type="dxa"/>
            <w:vAlign w:val="center"/>
          </w:tcPr>
          <w:p w14:paraId="4E7E6058">
            <w:pPr>
              <w:spacing w:line="360" w:lineRule="exact"/>
              <w:ind w:left="42" w:leftChars="20" w:right="42" w:rightChars="20"/>
              <w:jc w:val="left"/>
              <w:rPr>
                <w:rFonts w:ascii="宋体" w:cs="宋体"/>
                <w:color w:val="auto"/>
                <w:sz w:val="24"/>
                <w:highlight w:val="none"/>
              </w:rPr>
            </w:pPr>
            <w:r>
              <w:rPr>
                <w:rFonts w:hint="eastAsia" w:ascii="宋体" w:cs="宋体"/>
                <w:color w:val="auto"/>
                <w:sz w:val="24"/>
                <w:highlight w:val="none"/>
              </w:rPr>
              <w:t>202</w:t>
            </w:r>
            <w:r>
              <w:rPr>
                <w:rFonts w:ascii="宋体" w:cs="宋体"/>
                <w:color w:val="auto"/>
                <w:sz w:val="24"/>
                <w:highlight w:val="none"/>
              </w:rPr>
              <w:t>6</w:t>
            </w:r>
            <w:r>
              <w:rPr>
                <w:rFonts w:hint="eastAsia" w:ascii="宋体" w:cs="宋体"/>
                <w:color w:val="auto"/>
                <w:sz w:val="24"/>
                <w:highlight w:val="none"/>
              </w:rPr>
              <w:t>年</w:t>
            </w:r>
            <w:r>
              <w:rPr>
                <w:rFonts w:hint="eastAsia" w:ascii="宋体" w:cs="宋体"/>
                <w:color w:val="auto"/>
                <w:sz w:val="24"/>
                <w:highlight w:val="none"/>
                <w:lang w:val="en-US" w:eastAsia="zh-CN"/>
              </w:rPr>
              <w:t>9</w:t>
            </w:r>
            <w:r>
              <w:rPr>
                <w:rFonts w:hint="eastAsia" w:ascii="宋体" w:cs="宋体"/>
                <w:color w:val="auto"/>
                <w:sz w:val="24"/>
                <w:highlight w:val="none"/>
              </w:rPr>
              <w:t>月</w:t>
            </w:r>
            <w:r>
              <w:rPr>
                <w:rFonts w:hint="eastAsia" w:ascii="宋体" w:cs="宋体"/>
                <w:color w:val="auto"/>
                <w:sz w:val="24"/>
                <w:highlight w:val="none"/>
                <w:lang w:val="en-US" w:eastAsia="zh-CN"/>
              </w:rPr>
              <w:t>11</w:t>
            </w:r>
            <w:r>
              <w:rPr>
                <w:rFonts w:hint="eastAsia" w:ascii="宋体" w:cs="宋体"/>
                <w:color w:val="auto"/>
                <w:sz w:val="24"/>
                <w:highlight w:val="none"/>
              </w:rPr>
              <w:t>日17时</w:t>
            </w:r>
          </w:p>
        </w:tc>
      </w:tr>
      <w:tr w14:paraId="4E7E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01" w:type="dxa"/>
            <w:vAlign w:val="center"/>
          </w:tcPr>
          <w:p w14:paraId="4E7E605A">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12</w:t>
            </w:r>
          </w:p>
        </w:tc>
        <w:tc>
          <w:tcPr>
            <w:tcW w:w="1079" w:type="dxa"/>
            <w:vAlign w:val="center"/>
          </w:tcPr>
          <w:p w14:paraId="4E7E605B">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12</w:t>
            </w:r>
          </w:p>
        </w:tc>
        <w:tc>
          <w:tcPr>
            <w:tcW w:w="2120" w:type="dxa"/>
            <w:vAlign w:val="center"/>
          </w:tcPr>
          <w:p w14:paraId="4E7E605C">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投标有效期</w:t>
            </w:r>
          </w:p>
        </w:tc>
        <w:tc>
          <w:tcPr>
            <w:tcW w:w="5924" w:type="dxa"/>
            <w:vAlign w:val="center"/>
          </w:tcPr>
          <w:p w14:paraId="4E7E605D">
            <w:pPr>
              <w:spacing w:line="360" w:lineRule="exact"/>
              <w:ind w:left="42" w:leftChars="20" w:right="42" w:rightChars="20"/>
              <w:jc w:val="left"/>
              <w:rPr>
                <w:rFonts w:ascii="宋体" w:cs="宋体"/>
                <w:color w:val="auto"/>
                <w:sz w:val="24"/>
                <w:highlight w:val="none"/>
              </w:rPr>
            </w:pPr>
            <w:r>
              <w:rPr>
                <w:rFonts w:hint="eastAsia" w:ascii="宋体" w:cs="宋体"/>
                <w:color w:val="auto"/>
                <w:sz w:val="24"/>
                <w:highlight w:val="none"/>
                <w:u w:val="single"/>
              </w:rPr>
              <w:t xml:space="preserve"> 45</w:t>
            </w:r>
            <w:r>
              <w:rPr>
                <w:rFonts w:hint="eastAsia" w:ascii="宋体" w:cs="宋体"/>
                <w:color w:val="auto"/>
                <w:sz w:val="24"/>
                <w:highlight w:val="none"/>
              </w:rPr>
              <w:t>日历天（从投标截止之日算起）</w:t>
            </w:r>
          </w:p>
        </w:tc>
      </w:tr>
      <w:tr w14:paraId="4E7E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01" w:type="dxa"/>
            <w:vAlign w:val="center"/>
          </w:tcPr>
          <w:p w14:paraId="4E7E605F">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13</w:t>
            </w:r>
          </w:p>
        </w:tc>
        <w:tc>
          <w:tcPr>
            <w:tcW w:w="1079" w:type="dxa"/>
            <w:vAlign w:val="center"/>
          </w:tcPr>
          <w:p w14:paraId="4E7E6060">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13</w:t>
            </w:r>
          </w:p>
        </w:tc>
        <w:tc>
          <w:tcPr>
            <w:tcW w:w="2120" w:type="dxa"/>
            <w:vAlign w:val="center"/>
          </w:tcPr>
          <w:p w14:paraId="4E7E6061">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投标保证金</w:t>
            </w:r>
          </w:p>
        </w:tc>
        <w:tc>
          <w:tcPr>
            <w:tcW w:w="5924" w:type="dxa"/>
            <w:vAlign w:val="center"/>
          </w:tcPr>
          <w:p w14:paraId="4E7E6062">
            <w:pPr>
              <w:spacing w:line="360" w:lineRule="exact"/>
              <w:ind w:left="42" w:leftChars="20" w:right="42" w:rightChars="20"/>
              <w:jc w:val="left"/>
              <w:rPr>
                <w:rFonts w:ascii="宋体" w:cs="宋体"/>
                <w:color w:val="auto"/>
                <w:sz w:val="24"/>
                <w:highlight w:val="none"/>
              </w:rPr>
            </w:pPr>
            <w:r>
              <w:rPr>
                <w:rFonts w:hint="eastAsia" w:ascii="宋体" w:cs="宋体"/>
                <w:color w:val="auto"/>
                <w:sz w:val="24"/>
                <w:highlight w:val="none"/>
              </w:rPr>
              <w:t>不设</w:t>
            </w:r>
          </w:p>
        </w:tc>
      </w:tr>
      <w:tr w14:paraId="4E7E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901" w:type="dxa"/>
            <w:vAlign w:val="center"/>
          </w:tcPr>
          <w:p w14:paraId="4E7E6064">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14</w:t>
            </w:r>
          </w:p>
        </w:tc>
        <w:tc>
          <w:tcPr>
            <w:tcW w:w="1079" w:type="dxa"/>
            <w:vAlign w:val="center"/>
          </w:tcPr>
          <w:p w14:paraId="4E7E6065">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18.1</w:t>
            </w:r>
          </w:p>
        </w:tc>
        <w:tc>
          <w:tcPr>
            <w:tcW w:w="2120" w:type="dxa"/>
            <w:vAlign w:val="center"/>
          </w:tcPr>
          <w:p w14:paraId="4E7E6066">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投标报价方式</w:t>
            </w:r>
          </w:p>
        </w:tc>
        <w:tc>
          <w:tcPr>
            <w:tcW w:w="5924" w:type="dxa"/>
            <w:vAlign w:val="center"/>
          </w:tcPr>
          <w:p w14:paraId="4E7E6067">
            <w:pPr>
              <w:spacing w:line="360" w:lineRule="exact"/>
              <w:ind w:left="42" w:leftChars="20" w:right="42" w:rightChars="20"/>
              <w:jc w:val="left"/>
              <w:rPr>
                <w:rFonts w:ascii="宋体" w:cs="宋体"/>
                <w:color w:val="auto"/>
                <w:sz w:val="24"/>
                <w:highlight w:val="none"/>
              </w:rPr>
            </w:pPr>
            <w:r>
              <w:rPr>
                <w:rFonts w:hint="eastAsia" w:ascii="宋体" w:cs="宋体"/>
                <w:color w:val="auto"/>
                <w:sz w:val="24"/>
                <w:highlight w:val="none"/>
              </w:rPr>
              <w:t>固定下浮率报价</w:t>
            </w:r>
          </w:p>
        </w:tc>
      </w:tr>
      <w:tr w14:paraId="4E7E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901" w:type="dxa"/>
            <w:vAlign w:val="center"/>
          </w:tcPr>
          <w:p w14:paraId="4E7E6069">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15</w:t>
            </w:r>
          </w:p>
        </w:tc>
        <w:tc>
          <w:tcPr>
            <w:tcW w:w="1079" w:type="dxa"/>
            <w:vAlign w:val="center"/>
          </w:tcPr>
          <w:p w14:paraId="4E7E606A">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15.2</w:t>
            </w:r>
          </w:p>
        </w:tc>
        <w:tc>
          <w:tcPr>
            <w:tcW w:w="2120" w:type="dxa"/>
            <w:vAlign w:val="center"/>
          </w:tcPr>
          <w:p w14:paraId="4E7E606B">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招标控制价编制依据</w:t>
            </w:r>
          </w:p>
        </w:tc>
        <w:tc>
          <w:tcPr>
            <w:tcW w:w="5924" w:type="dxa"/>
            <w:vAlign w:val="center"/>
          </w:tcPr>
          <w:p w14:paraId="4E7E606C">
            <w:pPr>
              <w:widowControl/>
              <w:snapToGrid w:val="0"/>
              <w:spacing w:line="480" w:lineRule="exact"/>
              <w:jc w:val="left"/>
              <w:rPr>
                <w:rFonts w:ascii="宋体" w:cs="宋体"/>
                <w:color w:val="auto"/>
                <w:kern w:val="11"/>
                <w:sz w:val="24"/>
                <w:highlight w:val="none"/>
              </w:rPr>
            </w:pPr>
            <w:r>
              <w:rPr>
                <w:rFonts w:hint="eastAsia" w:ascii="宋体" w:cs="宋体"/>
                <w:b/>
                <w:bCs/>
                <w:color w:val="auto"/>
                <w:sz w:val="24"/>
                <w:highlight w:val="none"/>
                <w:u w:val="single"/>
              </w:rPr>
              <w:t>学校以往项目实际情况。</w:t>
            </w:r>
          </w:p>
        </w:tc>
      </w:tr>
      <w:tr w14:paraId="4E7E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01" w:type="dxa"/>
            <w:vAlign w:val="center"/>
          </w:tcPr>
          <w:p w14:paraId="4E7E606E">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16</w:t>
            </w:r>
          </w:p>
        </w:tc>
        <w:tc>
          <w:tcPr>
            <w:tcW w:w="1079" w:type="dxa"/>
            <w:vAlign w:val="center"/>
          </w:tcPr>
          <w:p w14:paraId="4E7E606F">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15.3</w:t>
            </w:r>
          </w:p>
        </w:tc>
        <w:tc>
          <w:tcPr>
            <w:tcW w:w="2120" w:type="dxa"/>
            <w:vAlign w:val="center"/>
          </w:tcPr>
          <w:p w14:paraId="4E7E6070">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公布的招标控制价文件组成</w:t>
            </w:r>
          </w:p>
        </w:tc>
        <w:tc>
          <w:tcPr>
            <w:tcW w:w="5924" w:type="dxa"/>
            <w:vAlign w:val="center"/>
          </w:tcPr>
          <w:p w14:paraId="4E7E6071">
            <w:pPr>
              <w:spacing w:line="360" w:lineRule="exact"/>
              <w:ind w:left="42" w:leftChars="20" w:right="42" w:rightChars="20"/>
              <w:jc w:val="left"/>
              <w:rPr>
                <w:rFonts w:ascii="宋体" w:cs="宋体"/>
                <w:color w:val="auto"/>
                <w:sz w:val="24"/>
                <w:highlight w:val="none"/>
              </w:rPr>
            </w:pPr>
            <w:r>
              <w:rPr>
                <w:rFonts w:hint="eastAsia" w:ascii="宋体" w:cs="宋体"/>
                <w:color w:val="auto"/>
                <w:sz w:val="24"/>
                <w:highlight w:val="none"/>
              </w:rPr>
              <w:t>/</w:t>
            </w:r>
          </w:p>
        </w:tc>
      </w:tr>
      <w:tr w14:paraId="4E7E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01" w:type="dxa"/>
            <w:vAlign w:val="center"/>
          </w:tcPr>
          <w:p w14:paraId="4E7E6073">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17</w:t>
            </w:r>
          </w:p>
        </w:tc>
        <w:tc>
          <w:tcPr>
            <w:tcW w:w="1079" w:type="dxa"/>
            <w:vAlign w:val="center"/>
          </w:tcPr>
          <w:p w14:paraId="4E7E6074">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15.1</w:t>
            </w:r>
          </w:p>
        </w:tc>
        <w:tc>
          <w:tcPr>
            <w:tcW w:w="2120" w:type="dxa"/>
            <w:vAlign w:val="center"/>
          </w:tcPr>
          <w:p w14:paraId="4E7E6075">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招标控制价</w:t>
            </w:r>
          </w:p>
        </w:tc>
        <w:tc>
          <w:tcPr>
            <w:tcW w:w="5924" w:type="dxa"/>
            <w:vAlign w:val="center"/>
          </w:tcPr>
          <w:p w14:paraId="4E7E6076">
            <w:pPr>
              <w:spacing w:line="360" w:lineRule="exact"/>
              <w:ind w:left="42" w:leftChars="20" w:right="42" w:rightChars="20"/>
              <w:jc w:val="left"/>
              <w:rPr>
                <w:rFonts w:ascii="宋体" w:cs="宋体"/>
                <w:b/>
                <w:color w:val="auto"/>
                <w:sz w:val="24"/>
                <w:highlight w:val="none"/>
              </w:rPr>
            </w:pPr>
            <w:r>
              <w:rPr>
                <w:rFonts w:hint="eastAsia" w:ascii="宋体" w:cs="宋体"/>
                <w:b/>
                <w:color w:val="auto"/>
                <w:sz w:val="24"/>
                <w:highlight w:val="none"/>
              </w:rPr>
              <w:t>本工程最低下浮率为10%。高于或等于10%的为有效报价，低于10%的为无效投标。</w:t>
            </w:r>
          </w:p>
          <w:p w14:paraId="4E7E6077">
            <w:pPr>
              <w:spacing w:line="360" w:lineRule="exact"/>
              <w:ind w:left="42" w:leftChars="20" w:right="42" w:rightChars="20"/>
              <w:jc w:val="left"/>
              <w:rPr>
                <w:rFonts w:ascii="宋体" w:cs="宋体"/>
                <w:color w:val="auto"/>
                <w:sz w:val="24"/>
                <w:highlight w:val="none"/>
              </w:rPr>
            </w:pPr>
            <w:r>
              <w:rPr>
                <w:rFonts w:hint="eastAsia" w:ascii="宋体" w:cs="宋体"/>
                <w:b/>
                <w:color w:val="auto"/>
                <w:sz w:val="24"/>
                <w:highlight w:val="none"/>
              </w:rPr>
              <w:t>备注：高于10%招标人是指11%、12%等等，低于10%是指9%、8%等等。</w:t>
            </w:r>
          </w:p>
        </w:tc>
      </w:tr>
      <w:tr w14:paraId="4E7E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01" w:type="dxa"/>
            <w:vAlign w:val="center"/>
          </w:tcPr>
          <w:p w14:paraId="4E7E6079">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18</w:t>
            </w:r>
          </w:p>
        </w:tc>
        <w:tc>
          <w:tcPr>
            <w:tcW w:w="1079" w:type="dxa"/>
            <w:vAlign w:val="center"/>
          </w:tcPr>
          <w:p w14:paraId="4E7E607A">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18.1</w:t>
            </w:r>
          </w:p>
        </w:tc>
        <w:tc>
          <w:tcPr>
            <w:tcW w:w="2120" w:type="dxa"/>
            <w:vAlign w:val="center"/>
          </w:tcPr>
          <w:p w14:paraId="4E7E607B">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投标文件份数</w:t>
            </w:r>
          </w:p>
        </w:tc>
        <w:tc>
          <w:tcPr>
            <w:tcW w:w="5924" w:type="dxa"/>
            <w:vAlign w:val="center"/>
          </w:tcPr>
          <w:p w14:paraId="4E7E607C">
            <w:pPr>
              <w:spacing w:line="360" w:lineRule="exact"/>
              <w:ind w:left="42" w:leftChars="20" w:right="42" w:rightChars="20"/>
              <w:jc w:val="left"/>
              <w:rPr>
                <w:rFonts w:hint="eastAsia" w:ascii="宋体" w:eastAsia="宋体" w:cs="宋体"/>
                <w:snapToGrid w:val="0"/>
                <w:color w:val="auto"/>
                <w:kern w:val="0"/>
                <w:sz w:val="24"/>
                <w:highlight w:val="none"/>
                <w:lang w:eastAsia="zh-CN"/>
              </w:rPr>
            </w:pPr>
            <w:r>
              <w:rPr>
                <w:rFonts w:hint="eastAsia" w:ascii="宋体" w:cs="宋体"/>
                <w:snapToGrid w:val="0"/>
                <w:color w:val="auto"/>
                <w:kern w:val="0"/>
                <w:sz w:val="24"/>
                <w:highlight w:val="none"/>
              </w:rPr>
              <w:t>投标文件正本</w:t>
            </w:r>
            <w:r>
              <w:rPr>
                <w:rFonts w:hint="eastAsia" w:ascii="宋体" w:cs="宋体"/>
                <w:snapToGrid w:val="0"/>
                <w:color w:val="auto"/>
                <w:kern w:val="0"/>
                <w:sz w:val="24"/>
                <w:highlight w:val="none"/>
                <w:u w:val="single"/>
              </w:rPr>
              <w:t xml:space="preserve"> 壹 </w:t>
            </w:r>
            <w:r>
              <w:rPr>
                <w:rFonts w:hint="eastAsia" w:ascii="宋体" w:cs="宋体"/>
                <w:snapToGrid w:val="0"/>
                <w:color w:val="auto"/>
                <w:kern w:val="0"/>
                <w:sz w:val="24"/>
                <w:highlight w:val="none"/>
              </w:rPr>
              <w:t>份，副本</w:t>
            </w:r>
            <w:r>
              <w:rPr>
                <w:rFonts w:hint="eastAsia" w:ascii="宋体" w:cs="宋体"/>
                <w:snapToGrid w:val="0"/>
                <w:color w:val="auto"/>
                <w:kern w:val="0"/>
                <w:sz w:val="24"/>
                <w:highlight w:val="none"/>
                <w:u w:val="single"/>
              </w:rPr>
              <w:t xml:space="preserve"> 叁 </w:t>
            </w:r>
            <w:r>
              <w:rPr>
                <w:rFonts w:hint="eastAsia" w:ascii="宋体" w:cs="宋体"/>
                <w:snapToGrid w:val="0"/>
                <w:color w:val="auto"/>
                <w:kern w:val="0"/>
                <w:sz w:val="24"/>
                <w:highlight w:val="none"/>
              </w:rPr>
              <w:t>份</w:t>
            </w:r>
            <w:r>
              <w:rPr>
                <w:rFonts w:hint="eastAsia" w:ascii="宋体" w:cs="宋体"/>
                <w:snapToGrid w:val="0"/>
                <w:color w:val="auto"/>
                <w:kern w:val="0"/>
                <w:sz w:val="24"/>
                <w:highlight w:val="none"/>
                <w:lang w:eastAsia="zh-CN"/>
              </w:rPr>
              <w:t>。</w:t>
            </w:r>
          </w:p>
        </w:tc>
      </w:tr>
      <w:tr w14:paraId="4E7E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01" w:type="dxa"/>
            <w:vAlign w:val="center"/>
          </w:tcPr>
          <w:p w14:paraId="4E7E607E">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19</w:t>
            </w:r>
          </w:p>
        </w:tc>
        <w:tc>
          <w:tcPr>
            <w:tcW w:w="1079" w:type="dxa"/>
            <w:vAlign w:val="center"/>
          </w:tcPr>
          <w:p w14:paraId="4E7E607F">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19.1</w:t>
            </w:r>
          </w:p>
        </w:tc>
        <w:tc>
          <w:tcPr>
            <w:tcW w:w="2120" w:type="dxa"/>
            <w:vAlign w:val="center"/>
          </w:tcPr>
          <w:p w14:paraId="4E7E6080">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投标文件提交地点及截止时间</w:t>
            </w:r>
          </w:p>
        </w:tc>
        <w:tc>
          <w:tcPr>
            <w:tcW w:w="5924" w:type="dxa"/>
            <w:shd w:val="clear" w:color="auto" w:fill="auto"/>
            <w:vAlign w:val="center"/>
          </w:tcPr>
          <w:p w14:paraId="4E7E6081">
            <w:pPr>
              <w:spacing w:line="460" w:lineRule="exact"/>
              <w:jc w:val="left"/>
              <w:rPr>
                <w:rFonts w:ascii="宋体" w:hAnsi="宋体" w:cs="宋体"/>
                <w:color w:val="auto"/>
                <w:sz w:val="24"/>
                <w:highlight w:val="none"/>
              </w:rPr>
            </w:pPr>
            <w:r>
              <w:rPr>
                <w:rFonts w:hint="eastAsia" w:ascii="宋体" w:hAnsi="宋体" w:cs="宋体"/>
                <w:color w:val="auto"/>
                <w:sz w:val="24"/>
                <w:highlight w:val="none"/>
              </w:rPr>
              <w:t>收件人：江苏中房工程咨询有限公司</w:t>
            </w:r>
          </w:p>
          <w:p w14:paraId="4E7E6082">
            <w:pPr>
              <w:spacing w:line="460" w:lineRule="exact"/>
              <w:jc w:val="left"/>
              <w:rPr>
                <w:rFonts w:ascii="宋体" w:hAnsi="宋体" w:cs="宋体"/>
                <w:b/>
                <w:bCs/>
                <w:color w:val="auto"/>
                <w:sz w:val="24"/>
                <w:highlight w:val="none"/>
              </w:rPr>
            </w:pPr>
            <w:r>
              <w:rPr>
                <w:rFonts w:hint="eastAsia" w:ascii="宋体" w:hAnsi="宋体" w:cs="宋体"/>
                <w:color w:val="auto"/>
                <w:sz w:val="24"/>
                <w:highlight w:val="none"/>
              </w:rPr>
              <w:t>截止时间：</w:t>
            </w:r>
            <w:r>
              <w:rPr>
                <w:rFonts w:hint="eastAsia" w:ascii="宋体" w:hAnsi="宋体" w:cs="宋体"/>
                <w:b/>
                <w:bCs/>
                <w:color w:val="auto"/>
                <w:sz w:val="24"/>
                <w:highlight w:val="none"/>
                <w:u w:val="single"/>
              </w:rPr>
              <w:t>2026年</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u w:val="single"/>
              </w:rPr>
              <w:t>月</w:t>
            </w:r>
            <w:r>
              <w:rPr>
                <w:rFonts w:hint="eastAsia" w:ascii="宋体" w:hAnsi="宋体" w:cs="宋体"/>
                <w:b/>
                <w:bCs/>
                <w:color w:val="auto"/>
                <w:sz w:val="24"/>
                <w:highlight w:val="none"/>
                <w:u w:val="single"/>
                <w:lang w:val="en-US" w:eastAsia="zh-CN"/>
              </w:rPr>
              <w:t>14</w:t>
            </w:r>
            <w:r>
              <w:rPr>
                <w:rFonts w:hint="eastAsia" w:ascii="宋体" w:hAnsi="宋体" w:cs="宋体"/>
                <w:b/>
                <w:bCs/>
                <w:color w:val="auto"/>
                <w:sz w:val="24"/>
                <w:highlight w:val="none"/>
                <w:u w:val="single"/>
              </w:rPr>
              <w:t>日9时00分（以北京时间为准）</w:t>
            </w:r>
          </w:p>
          <w:p w14:paraId="4E7E6083">
            <w:pPr>
              <w:spacing w:line="460" w:lineRule="exact"/>
              <w:jc w:val="left"/>
              <w:rPr>
                <w:rFonts w:ascii="宋体" w:hAnsi="宋体" w:cs="宋体"/>
                <w:color w:val="auto"/>
                <w:sz w:val="24"/>
                <w:highlight w:val="none"/>
              </w:rPr>
            </w:pPr>
            <w:r>
              <w:rPr>
                <w:rFonts w:hint="eastAsia" w:ascii="宋体" w:hAnsi="宋体" w:cs="宋体"/>
                <w:color w:val="auto"/>
                <w:sz w:val="24"/>
                <w:highlight w:val="none"/>
              </w:rPr>
              <w:t>递交方式：</w:t>
            </w:r>
            <w:r>
              <w:rPr>
                <w:rFonts w:hint="eastAsia" w:ascii="宋体" w:hAnsi="宋体" w:cs="宋体"/>
                <w:b/>
                <w:bCs/>
                <w:color w:val="auto"/>
                <w:sz w:val="24"/>
                <w:highlight w:val="none"/>
                <w:u w:val="single"/>
              </w:rPr>
              <w:t>邮寄或直接送达</w:t>
            </w:r>
          </w:p>
          <w:p w14:paraId="4E7E6084">
            <w:pPr>
              <w:spacing w:line="460" w:lineRule="exact"/>
              <w:jc w:val="left"/>
              <w:rPr>
                <w:color w:val="auto"/>
                <w:highlight w:val="none"/>
              </w:rPr>
            </w:pPr>
            <w:r>
              <w:rPr>
                <w:rFonts w:hint="eastAsia" w:ascii="宋体" w:hAnsi="宋体" w:cs="宋体"/>
                <w:color w:val="auto"/>
                <w:sz w:val="24"/>
                <w:highlight w:val="none"/>
              </w:rPr>
              <w:t>递交地点：</w:t>
            </w:r>
            <w:r>
              <w:rPr>
                <w:rFonts w:hint="eastAsia" w:ascii="宋体" w:hAnsi="宋体" w:cs="宋体"/>
                <w:b/>
                <w:bCs/>
                <w:color w:val="auto"/>
                <w:sz w:val="24"/>
                <w:highlight w:val="none"/>
                <w:u w:val="single"/>
              </w:rPr>
              <w:t>南通市崇川区江海大道817号江海财富大厦A座704-2，如有变动另行通知。</w:t>
            </w:r>
          </w:p>
        </w:tc>
      </w:tr>
      <w:tr w14:paraId="4E7E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901" w:type="dxa"/>
            <w:vAlign w:val="center"/>
          </w:tcPr>
          <w:p w14:paraId="4E7E6086">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20</w:t>
            </w:r>
          </w:p>
        </w:tc>
        <w:tc>
          <w:tcPr>
            <w:tcW w:w="1079" w:type="dxa"/>
            <w:vAlign w:val="center"/>
          </w:tcPr>
          <w:p w14:paraId="4E7E6087">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22</w:t>
            </w:r>
          </w:p>
        </w:tc>
        <w:tc>
          <w:tcPr>
            <w:tcW w:w="2120" w:type="dxa"/>
            <w:vAlign w:val="center"/>
          </w:tcPr>
          <w:p w14:paraId="4E7E6088">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开   标</w:t>
            </w:r>
            <w:r>
              <w:rPr>
                <w:rFonts w:hint="eastAsia" w:ascii="宋体" w:hAnsi="宋体" w:cs="宋体"/>
                <w:color w:val="auto"/>
                <w:sz w:val="24"/>
                <w:highlight w:val="none"/>
              </w:rPr>
              <w:t>（本项目为不见面开标）</w:t>
            </w:r>
          </w:p>
        </w:tc>
        <w:tc>
          <w:tcPr>
            <w:tcW w:w="5924" w:type="dxa"/>
            <w:vAlign w:val="center"/>
          </w:tcPr>
          <w:p w14:paraId="4E7E6089">
            <w:pPr>
              <w:spacing w:line="460" w:lineRule="exact"/>
              <w:jc w:val="left"/>
              <w:rPr>
                <w:rFonts w:ascii="宋体" w:hAnsi="宋体" w:cs="宋体"/>
                <w:b/>
                <w:bCs/>
                <w:color w:val="auto"/>
                <w:sz w:val="24"/>
                <w:highlight w:val="none"/>
                <w:u w:val="single"/>
              </w:rPr>
            </w:pPr>
            <w:r>
              <w:rPr>
                <w:rFonts w:hint="eastAsia" w:ascii="宋体" w:hAnsi="宋体" w:cs="宋体"/>
                <w:color w:val="auto"/>
                <w:sz w:val="24"/>
                <w:highlight w:val="none"/>
              </w:rPr>
              <w:t>开标时间：</w:t>
            </w:r>
            <w:r>
              <w:rPr>
                <w:rFonts w:hint="eastAsia" w:ascii="宋体" w:hAnsi="宋体" w:cs="宋体"/>
                <w:b/>
                <w:bCs/>
                <w:color w:val="auto"/>
                <w:sz w:val="24"/>
                <w:highlight w:val="none"/>
                <w:u w:val="single"/>
              </w:rPr>
              <w:t>2026年</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u w:val="single"/>
              </w:rPr>
              <w:t>月</w:t>
            </w:r>
            <w:r>
              <w:rPr>
                <w:rFonts w:hint="eastAsia" w:ascii="宋体" w:hAnsi="宋体" w:cs="宋体"/>
                <w:b/>
                <w:bCs/>
                <w:color w:val="auto"/>
                <w:sz w:val="24"/>
                <w:highlight w:val="none"/>
                <w:u w:val="single"/>
                <w:lang w:val="en-US" w:eastAsia="zh-CN"/>
              </w:rPr>
              <w:t>14</w:t>
            </w:r>
            <w:r>
              <w:rPr>
                <w:rFonts w:hint="eastAsia" w:ascii="宋体" w:hAnsi="宋体" w:cs="宋体"/>
                <w:b/>
                <w:bCs/>
                <w:color w:val="auto"/>
                <w:sz w:val="24"/>
                <w:highlight w:val="none"/>
                <w:u w:val="single"/>
              </w:rPr>
              <w:t>日9时00分（以北京时间为准）</w:t>
            </w:r>
          </w:p>
          <w:p w14:paraId="4E7E608A">
            <w:pPr>
              <w:pStyle w:val="24"/>
              <w:ind w:firstLine="0"/>
              <w:rPr>
                <w:color w:val="auto"/>
                <w:highlight w:val="none"/>
              </w:rPr>
            </w:pPr>
            <w:r>
              <w:rPr>
                <w:rFonts w:hint="eastAsia" w:ascii="宋体" w:hAnsi="宋体" w:eastAsia="宋体" w:cs="宋体"/>
                <w:b w:val="0"/>
                <w:color w:val="auto"/>
                <w:spacing w:val="0"/>
                <w:kern w:val="2"/>
                <w:sz w:val="24"/>
                <w:szCs w:val="24"/>
                <w:highlight w:val="none"/>
              </w:rPr>
              <w:t>开标地点：</w:t>
            </w:r>
            <w:r>
              <w:rPr>
                <w:rFonts w:hint="eastAsia" w:ascii="宋体" w:hAnsi="宋体" w:eastAsia="宋体" w:cs="宋体"/>
                <w:bCs/>
                <w:color w:val="auto"/>
                <w:spacing w:val="0"/>
                <w:kern w:val="2"/>
                <w:sz w:val="24"/>
                <w:szCs w:val="24"/>
                <w:highlight w:val="none"/>
                <w:u w:val="single"/>
              </w:rPr>
              <w:t>南通市崇川区江海大道817号江海财富大厦A座702-4</w:t>
            </w:r>
          </w:p>
          <w:p w14:paraId="4E7E608B">
            <w:pPr>
              <w:spacing w:line="460" w:lineRule="exact"/>
              <w:jc w:val="left"/>
              <w:rPr>
                <w:rFonts w:ascii="宋体" w:hAnsi="宋体" w:cs="宋体"/>
                <w:b/>
                <w:bCs/>
                <w:color w:val="auto"/>
                <w:sz w:val="24"/>
                <w:highlight w:val="none"/>
                <w:u w:val="single"/>
              </w:rPr>
            </w:pPr>
            <w:r>
              <w:rPr>
                <w:rFonts w:hint="eastAsia" w:ascii="宋体" w:hAnsi="宋体" w:cs="宋体"/>
                <w:color w:val="auto"/>
                <w:sz w:val="24"/>
                <w:highlight w:val="none"/>
              </w:rPr>
              <w:t>开标方式：</w:t>
            </w:r>
            <w:r>
              <w:rPr>
                <w:rFonts w:hint="eastAsia" w:ascii="宋体" w:hAnsi="宋体" w:cs="宋体"/>
                <w:b/>
                <w:bCs/>
                <w:color w:val="auto"/>
                <w:sz w:val="24"/>
                <w:highlight w:val="none"/>
                <w:u w:val="single"/>
              </w:rPr>
              <w:t>本项目为不见面开标</w:t>
            </w:r>
          </w:p>
          <w:p w14:paraId="4E7E608C">
            <w:pPr>
              <w:spacing w:line="360" w:lineRule="exact"/>
              <w:ind w:left="42" w:leftChars="20" w:right="42" w:rightChars="20"/>
              <w:jc w:val="left"/>
              <w:rPr>
                <w:rFonts w:ascii="宋体" w:cs="宋体"/>
                <w:color w:val="auto"/>
                <w:sz w:val="24"/>
                <w:highlight w:val="none"/>
              </w:rPr>
            </w:pPr>
            <w:r>
              <w:rPr>
                <w:rFonts w:hint="eastAsia" w:ascii="宋体" w:hAnsi="宋体" w:cs="宋体"/>
                <w:b/>
                <w:bCs/>
                <w:color w:val="auto"/>
                <w:sz w:val="24"/>
                <w:highlight w:val="none"/>
              </w:rPr>
              <w:t>★如为送达投标文件，投标人代表在送达投标文件并签到后离开开标现场，但必须保持通讯畅通，如因投标代表通讯不畅导致无法及时沟通，责任由投标人自行承担。</w:t>
            </w:r>
          </w:p>
        </w:tc>
      </w:tr>
      <w:tr w14:paraId="4E7E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01" w:type="dxa"/>
            <w:vAlign w:val="center"/>
          </w:tcPr>
          <w:p w14:paraId="4E7E608E">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21</w:t>
            </w:r>
          </w:p>
        </w:tc>
        <w:tc>
          <w:tcPr>
            <w:tcW w:w="1079" w:type="dxa"/>
            <w:vAlign w:val="center"/>
          </w:tcPr>
          <w:p w14:paraId="4E7E608F">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23</w:t>
            </w:r>
          </w:p>
        </w:tc>
        <w:tc>
          <w:tcPr>
            <w:tcW w:w="2120" w:type="dxa"/>
            <w:vAlign w:val="center"/>
          </w:tcPr>
          <w:p w14:paraId="4E7E6090">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评标委员会</w:t>
            </w:r>
          </w:p>
        </w:tc>
        <w:tc>
          <w:tcPr>
            <w:tcW w:w="5924" w:type="dxa"/>
            <w:vAlign w:val="center"/>
          </w:tcPr>
          <w:p w14:paraId="4E7E6091">
            <w:pPr>
              <w:spacing w:line="360" w:lineRule="exact"/>
              <w:ind w:left="42" w:leftChars="20" w:right="42" w:rightChars="20"/>
              <w:jc w:val="left"/>
              <w:rPr>
                <w:rFonts w:ascii="宋体" w:cs="宋体"/>
                <w:color w:val="auto"/>
                <w:sz w:val="24"/>
                <w:highlight w:val="none"/>
              </w:rPr>
            </w:pPr>
            <w:r>
              <w:rPr>
                <w:rFonts w:hint="eastAsia" w:ascii="宋体" w:hAnsi="宋体" w:cs="宋体"/>
                <w:snapToGrid w:val="0"/>
                <w:color w:val="auto"/>
                <w:kern w:val="0"/>
                <w:sz w:val="24"/>
                <w:highlight w:val="none"/>
              </w:rPr>
              <w:t>评标委员会由</w:t>
            </w:r>
            <w:r>
              <w:rPr>
                <w:rFonts w:hint="eastAsia" w:ascii="宋体" w:hAnsi="宋体" w:cs="宋体"/>
                <w:snapToGrid w:val="0"/>
                <w:color w:val="auto"/>
                <w:kern w:val="0"/>
                <w:sz w:val="24"/>
                <w:highlight w:val="none"/>
                <w:u w:val="single"/>
              </w:rPr>
              <w:t>3</w:t>
            </w:r>
            <w:r>
              <w:rPr>
                <w:rFonts w:hint="eastAsia" w:ascii="宋体" w:hAnsi="宋体" w:cs="宋体"/>
                <w:snapToGrid w:val="0"/>
                <w:color w:val="auto"/>
                <w:kern w:val="0"/>
                <w:sz w:val="24"/>
                <w:highlight w:val="none"/>
              </w:rPr>
              <w:t>人及以上单数构成，由招标人依法组建。</w:t>
            </w:r>
          </w:p>
        </w:tc>
      </w:tr>
      <w:tr w14:paraId="4E7E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901" w:type="dxa"/>
            <w:vAlign w:val="center"/>
          </w:tcPr>
          <w:p w14:paraId="4E7E6093">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22</w:t>
            </w:r>
          </w:p>
        </w:tc>
        <w:tc>
          <w:tcPr>
            <w:tcW w:w="1079" w:type="dxa"/>
            <w:vAlign w:val="center"/>
          </w:tcPr>
          <w:p w14:paraId="4E7E6094">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32</w:t>
            </w:r>
          </w:p>
        </w:tc>
        <w:tc>
          <w:tcPr>
            <w:tcW w:w="2120" w:type="dxa"/>
            <w:vAlign w:val="center"/>
          </w:tcPr>
          <w:p w14:paraId="4E7E6095">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履约担保</w:t>
            </w:r>
          </w:p>
          <w:p w14:paraId="4E7E6096">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金额</w:t>
            </w:r>
          </w:p>
        </w:tc>
        <w:tc>
          <w:tcPr>
            <w:tcW w:w="5924" w:type="dxa"/>
            <w:vAlign w:val="center"/>
          </w:tcPr>
          <w:p w14:paraId="4E7E6097">
            <w:pPr>
              <w:spacing w:line="360" w:lineRule="exact"/>
              <w:ind w:left="42" w:leftChars="20" w:right="42" w:rightChars="20"/>
              <w:jc w:val="left"/>
              <w:rPr>
                <w:rFonts w:ascii="宋体" w:cs="宋体"/>
                <w:color w:val="auto"/>
                <w:sz w:val="24"/>
                <w:highlight w:val="none"/>
              </w:rPr>
            </w:pPr>
            <w:r>
              <w:rPr>
                <w:rFonts w:hint="eastAsia" w:ascii="宋体" w:cs="宋体"/>
                <w:color w:val="auto"/>
                <w:sz w:val="24"/>
                <w:highlight w:val="none"/>
              </w:rPr>
              <w:t>投标人提供的履约保证金为人民币</w:t>
            </w:r>
            <w:r>
              <w:rPr>
                <w:rFonts w:hint="eastAsia" w:ascii="宋体" w:cs="宋体"/>
                <w:color w:val="auto"/>
                <w:sz w:val="24"/>
                <w:highlight w:val="none"/>
                <w:lang w:val="en-US" w:eastAsia="zh-CN"/>
              </w:rPr>
              <w:t>叁</w:t>
            </w:r>
            <w:r>
              <w:rPr>
                <w:rFonts w:hint="eastAsia" w:ascii="宋体" w:cs="宋体"/>
                <w:color w:val="auto"/>
                <w:sz w:val="24"/>
                <w:highlight w:val="none"/>
              </w:rPr>
              <w:t>万元整。</w:t>
            </w:r>
          </w:p>
        </w:tc>
      </w:tr>
      <w:tr w14:paraId="4E7E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01" w:type="dxa"/>
            <w:tcBorders>
              <w:left w:val="single" w:color="auto" w:sz="4" w:space="0"/>
              <w:bottom w:val="single" w:color="auto" w:sz="4" w:space="0"/>
              <w:right w:val="single" w:color="auto" w:sz="4" w:space="0"/>
            </w:tcBorders>
            <w:noWrap/>
            <w:tcMar>
              <w:left w:w="0" w:type="dxa"/>
              <w:right w:w="0" w:type="dxa"/>
            </w:tcMar>
            <w:vAlign w:val="center"/>
          </w:tcPr>
          <w:p w14:paraId="4E7E6099">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23</w:t>
            </w:r>
          </w:p>
        </w:tc>
        <w:tc>
          <w:tcPr>
            <w:tcW w:w="3199" w:type="dxa"/>
            <w:gridSpan w:val="2"/>
            <w:tcBorders>
              <w:left w:val="single" w:color="auto" w:sz="4" w:space="0"/>
              <w:bottom w:val="single" w:color="auto" w:sz="4" w:space="0"/>
              <w:right w:val="single" w:color="auto" w:sz="4" w:space="0"/>
            </w:tcBorders>
            <w:noWrap/>
            <w:tcMar>
              <w:left w:w="0" w:type="dxa"/>
              <w:right w:w="0" w:type="dxa"/>
            </w:tcMar>
            <w:vAlign w:val="center"/>
          </w:tcPr>
          <w:p w14:paraId="4E7E609A">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招标单位</w:t>
            </w:r>
          </w:p>
        </w:tc>
        <w:tc>
          <w:tcPr>
            <w:tcW w:w="5924"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4E7E609B">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名  称：江苏商贸职业学院</w:t>
            </w:r>
          </w:p>
          <w:p w14:paraId="4E7E609C">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招标单位联系人：</w:t>
            </w:r>
          </w:p>
          <w:p w14:paraId="347AAA17">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杨老师 （资产管理处）  联系电话：0513-85679264</w:t>
            </w:r>
          </w:p>
          <w:p w14:paraId="4E7E609D">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王老师（后勤与基建处） 联系电话：</w:t>
            </w:r>
            <w:r>
              <w:rPr>
                <w:rFonts w:ascii="宋体" w:hAnsi="宋体" w:cs="宋体"/>
                <w:color w:val="auto"/>
                <w:sz w:val="24"/>
                <w:highlight w:val="none"/>
              </w:rPr>
              <w:t>0513-85679</w:t>
            </w:r>
            <w:r>
              <w:rPr>
                <w:rFonts w:hint="eastAsia" w:ascii="宋体" w:hAnsi="宋体" w:cs="宋体"/>
                <w:color w:val="auto"/>
                <w:sz w:val="24"/>
                <w:highlight w:val="none"/>
              </w:rPr>
              <w:t>235</w:t>
            </w:r>
          </w:p>
          <w:p w14:paraId="4E7E609F">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联系邮箱：jssyzcglc@jsbc.edu.cn</w:t>
            </w:r>
          </w:p>
          <w:p w14:paraId="4E7E60A0">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监督、投诉联系方式：</w:t>
            </w:r>
          </w:p>
          <w:p w14:paraId="4E7E60A1">
            <w:pPr>
              <w:spacing w:line="360" w:lineRule="exact"/>
              <w:ind w:left="42" w:leftChars="20" w:right="42" w:rightChars="20"/>
              <w:jc w:val="left"/>
              <w:rPr>
                <w:rFonts w:ascii="宋体" w:cs="宋体"/>
                <w:color w:val="auto"/>
                <w:sz w:val="24"/>
                <w:highlight w:val="none"/>
              </w:rPr>
            </w:pPr>
            <w:r>
              <w:rPr>
                <w:rFonts w:hint="eastAsia" w:ascii="宋体" w:hAnsi="宋体" w:cs="宋体"/>
                <w:color w:val="auto"/>
                <w:sz w:val="24"/>
                <w:highlight w:val="none"/>
              </w:rPr>
              <w:t>电话：0513-85679216，联系邮箱：jssyjjjc@163.com</w:t>
            </w:r>
          </w:p>
        </w:tc>
      </w:tr>
      <w:tr w14:paraId="4E7E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901" w:type="dxa"/>
            <w:tcBorders>
              <w:left w:val="single" w:color="auto" w:sz="4" w:space="0"/>
              <w:right w:val="single" w:color="auto" w:sz="4" w:space="0"/>
            </w:tcBorders>
            <w:noWrap/>
            <w:tcMar>
              <w:left w:w="0" w:type="dxa"/>
              <w:right w:w="0" w:type="dxa"/>
            </w:tcMar>
            <w:vAlign w:val="center"/>
          </w:tcPr>
          <w:p w14:paraId="4E7E60A3">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24</w:t>
            </w:r>
          </w:p>
        </w:tc>
        <w:tc>
          <w:tcPr>
            <w:tcW w:w="3199" w:type="dxa"/>
            <w:gridSpan w:val="2"/>
            <w:tcBorders>
              <w:left w:val="single" w:color="auto" w:sz="4" w:space="0"/>
              <w:right w:val="single" w:color="auto" w:sz="4" w:space="0"/>
            </w:tcBorders>
            <w:noWrap/>
            <w:tcMar>
              <w:left w:w="0" w:type="dxa"/>
              <w:right w:w="0" w:type="dxa"/>
            </w:tcMar>
            <w:vAlign w:val="center"/>
          </w:tcPr>
          <w:p w14:paraId="4E7E60A4">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招标代理</w:t>
            </w:r>
          </w:p>
          <w:p w14:paraId="4E7E60A5">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单位</w:t>
            </w:r>
          </w:p>
        </w:tc>
        <w:tc>
          <w:tcPr>
            <w:tcW w:w="5924"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4E7E60A6">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单位名称：江苏中房工程咨询有限公司</w:t>
            </w:r>
          </w:p>
          <w:p w14:paraId="4E7E60A7">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联 系 人：吴江</w:t>
            </w:r>
          </w:p>
          <w:p w14:paraId="4E7E60A8">
            <w:pPr>
              <w:spacing w:line="360" w:lineRule="exact"/>
              <w:ind w:left="42" w:leftChars="20" w:right="42" w:rightChars="20"/>
              <w:jc w:val="left"/>
              <w:rPr>
                <w:rFonts w:ascii="宋体" w:cs="宋体"/>
                <w:color w:val="auto"/>
                <w:sz w:val="24"/>
                <w:highlight w:val="none"/>
              </w:rPr>
            </w:pPr>
            <w:r>
              <w:rPr>
                <w:rFonts w:hint="eastAsia" w:ascii="宋体" w:hAnsi="宋体" w:cs="宋体"/>
                <w:color w:val="auto"/>
                <w:sz w:val="24"/>
                <w:highlight w:val="none"/>
              </w:rPr>
              <w:t>联系电话：</w:t>
            </w:r>
            <w:r>
              <w:rPr>
                <w:rFonts w:hint="eastAsia" w:ascii="宋体" w:hAnsi="宋体" w:cs="楷体"/>
                <w:color w:val="auto"/>
                <w:sz w:val="24"/>
                <w:highlight w:val="none"/>
              </w:rPr>
              <w:t>0513-68002662、13861946109</w:t>
            </w:r>
            <w:r>
              <w:rPr>
                <w:rFonts w:ascii="宋体" w:cs="宋体"/>
                <w:color w:val="auto"/>
                <w:sz w:val="24"/>
                <w:highlight w:val="none"/>
              </w:rPr>
              <w:t xml:space="preserve"> </w:t>
            </w:r>
          </w:p>
        </w:tc>
      </w:tr>
      <w:tr w14:paraId="4E7E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901" w:type="dxa"/>
            <w:tcBorders>
              <w:left w:val="single" w:color="auto" w:sz="4" w:space="0"/>
              <w:right w:val="single" w:color="auto" w:sz="4" w:space="0"/>
            </w:tcBorders>
            <w:noWrap/>
            <w:tcMar>
              <w:left w:w="0" w:type="dxa"/>
              <w:right w:w="0" w:type="dxa"/>
            </w:tcMar>
            <w:vAlign w:val="center"/>
          </w:tcPr>
          <w:p w14:paraId="4E7E60AA">
            <w:pPr>
              <w:spacing w:line="360" w:lineRule="exact"/>
              <w:ind w:left="42" w:leftChars="20" w:right="42" w:rightChars="20"/>
              <w:jc w:val="center"/>
              <w:rPr>
                <w:rFonts w:ascii="宋体" w:cs="宋体"/>
                <w:color w:val="auto"/>
                <w:sz w:val="24"/>
                <w:highlight w:val="none"/>
              </w:rPr>
            </w:pPr>
            <w:r>
              <w:rPr>
                <w:rFonts w:hint="eastAsia" w:ascii="宋体" w:cs="宋体"/>
                <w:color w:val="auto"/>
                <w:sz w:val="24"/>
                <w:highlight w:val="none"/>
              </w:rPr>
              <w:t>25</w:t>
            </w:r>
          </w:p>
        </w:tc>
        <w:tc>
          <w:tcPr>
            <w:tcW w:w="3199" w:type="dxa"/>
            <w:gridSpan w:val="2"/>
            <w:tcBorders>
              <w:left w:val="single" w:color="auto" w:sz="4" w:space="0"/>
              <w:right w:val="single" w:color="auto" w:sz="4" w:space="0"/>
            </w:tcBorders>
            <w:noWrap/>
            <w:tcMar>
              <w:left w:w="0" w:type="dxa"/>
              <w:right w:w="0" w:type="dxa"/>
            </w:tcMar>
            <w:vAlign w:val="center"/>
          </w:tcPr>
          <w:p w14:paraId="4E7E60AB">
            <w:pPr>
              <w:spacing w:line="360" w:lineRule="exact"/>
              <w:ind w:left="42" w:leftChars="20" w:right="42" w:rightChars="20"/>
              <w:jc w:val="center"/>
              <w:rPr>
                <w:rFonts w:ascii="宋体" w:cs="宋体"/>
                <w:color w:val="auto"/>
                <w:sz w:val="24"/>
                <w:highlight w:val="none"/>
              </w:rPr>
            </w:pPr>
            <w:r>
              <w:rPr>
                <w:rFonts w:hint="eastAsia" w:ascii="宋体" w:hAnsi="宋体" w:cs="宋体"/>
                <w:color w:val="auto"/>
                <w:kern w:val="0"/>
                <w:sz w:val="24"/>
                <w:highlight w:val="none"/>
              </w:rPr>
              <w:t>不见面开标说明</w:t>
            </w:r>
          </w:p>
        </w:tc>
        <w:tc>
          <w:tcPr>
            <w:tcW w:w="5924"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4E7E60AC">
            <w:pPr>
              <w:pStyle w:val="31"/>
              <w:spacing w:line="400" w:lineRule="exact"/>
              <w:ind w:right="0"/>
              <w:jc w:val="both"/>
              <w:rPr>
                <w:rFonts w:ascii="宋体" w:cs="宋体"/>
                <w:color w:val="auto"/>
                <w:szCs w:val="24"/>
                <w:highlight w:val="none"/>
              </w:rPr>
            </w:pPr>
            <w:r>
              <w:rPr>
                <w:rFonts w:hint="eastAsia" w:ascii="宋体" w:cs="宋体"/>
                <w:color w:val="auto"/>
                <w:szCs w:val="24"/>
                <w:highlight w:val="none"/>
              </w:rPr>
              <w:t>本项目为不见面评审，投标人代表无需到达开标现场，但应确保投标文件在提交投标文件截止时间前送达或邮寄到招标代理处（邮寄地址：南通市崇川区江海大道817号江海财富大厦A座704-2，联系人：吴江13861946109）。</w:t>
            </w:r>
          </w:p>
          <w:p w14:paraId="4E7E60AD">
            <w:pPr>
              <w:pStyle w:val="31"/>
              <w:spacing w:line="400" w:lineRule="exact"/>
              <w:ind w:right="0"/>
              <w:jc w:val="both"/>
              <w:rPr>
                <w:rFonts w:ascii="宋体" w:cs="宋体"/>
                <w:color w:val="auto"/>
                <w:szCs w:val="24"/>
                <w:highlight w:val="none"/>
              </w:rPr>
            </w:pPr>
            <w:r>
              <w:rPr>
                <w:rFonts w:hint="eastAsia" w:ascii="宋体" w:cs="宋体"/>
                <w:color w:val="auto"/>
                <w:szCs w:val="24"/>
                <w:highlight w:val="none"/>
              </w:rPr>
              <w:t>本项目投标文件资格审查密封袋上须注明响应单位授权委托人的联系方式和QQ号，并保证项目评审期间通讯畅通，如因投标代表通讯不畅导致无法及时沟通，责任由投标人自行承担。</w:t>
            </w:r>
          </w:p>
          <w:p w14:paraId="4E7E60AE">
            <w:pPr>
              <w:spacing w:line="360" w:lineRule="exact"/>
              <w:ind w:left="42" w:leftChars="20" w:right="42" w:rightChars="20"/>
              <w:jc w:val="left"/>
              <w:rPr>
                <w:rFonts w:ascii="宋体" w:hAnsi="宋体" w:cs="宋体"/>
                <w:color w:val="auto"/>
                <w:sz w:val="24"/>
                <w:highlight w:val="none"/>
              </w:rPr>
            </w:pPr>
            <w:r>
              <w:rPr>
                <w:rFonts w:hint="eastAsia"/>
                <w:color w:val="auto"/>
                <w:sz w:val="24"/>
                <w:highlight w:val="none"/>
              </w:rPr>
              <w:t>开标现场由代理机构主持，招标人组织的评标委员会负责投标文件的评审。</w:t>
            </w:r>
            <w:r>
              <w:rPr>
                <w:rFonts w:hint="eastAsia"/>
                <w:b/>
                <w:color w:val="auto"/>
                <w:sz w:val="24"/>
                <w:highlight w:val="none"/>
              </w:rPr>
              <w:t>为确保本项目开标能够顺利进行，各投标人的授权委托人在开始前半个小时以“单位名称（简写）+授权委托人姓名（实名）”的格式申请加入腾讯会议号：</w:t>
            </w:r>
            <w:r>
              <w:rPr>
                <w:rFonts w:hint="eastAsia"/>
                <w:b/>
                <w:color w:val="auto"/>
                <w:sz w:val="24"/>
                <w:highlight w:val="none"/>
                <w:lang w:val="en-US" w:eastAsia="zh-CN"/>
              </w:rPr>
              <w:t>982400693</w:t>
            </w:r>
            <w:r>
              <w:rPr>
                <w:rFonts w:hint="eastAsia"/>
                <w:b/>
                <w:color w:val="auto"/>
                <w:sz w:val="24"/>
                <w:highlight w:val="none"/>
              </w:rPr>
              <w:t>。</w:t>
            </w:r>
            <w:r>
              <w:rPr>
                <w:rFonts w:hint="eastAsia"/>
                <w:color w:val="auto"/>
                <w:sz w:val="24"/>
                <w:highlight w:val="none"/>
              </w:rPr>
              <w:t>申请通过后，须按代理机构工作人员提示，修改头像和备注名称。本项目开标过程交互采用“腾讯会议”，投标人需自行下载安装“腾讯会议”软件，并学习操作。开评标全过程中，各投标人参与远程交互的授权委托人或法定代表人应始终为同一个人（打开摄像头、语音），中途不得更换，在废标、澄清、提疑、传送文件等特殊情况下需要交互时，投标人一端参与交互的人员将均被视为是投标人的授权委托人或法定代表人，投标人不得以不承认交互人员的资格或身份等为借口抵赖推脱，投标人自行承担随意更换人员所导致的一切后果。若投标人未按要求加入腾讯会议，则视为放弃交互和放弃对开评标全过程提问的权利，并承担由此导致的一切后果。为顺利实现本项目开评标的远程交互，建议投标人配置的硬件设施有：电脑或手机、高速稳定的网络、电源（不间断）、音视频设备（话筒、耳麦、高清摄像头、音响）等。为保证交互效果，建议投标人选择封闭安静的地点参与远程交互。因投标人自身软硬件问题而导致在交互过程中出现不稳定或中断等情况的，由投标人自身承担一切后果。</w:t>
            </w:r>
          </w:p>
        </w:tc>
      </w:tr>
      <w:tr w14:paraId="4E7E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10024" w:type="dxa"/>
            <w:gridSpan w:val="4"/>
            <w:tcBorders>
              <w:left w:val="single" w:color="auto" w:sz="4" w:space="0"/>
              <w:right w:val="single" w:color="auto" w:sz="4" w:space="0"/>
            </w:tcBorders>
            <w:noWrap/>
            <w:tcMar>
              <w:left w:w="0" w:type="dxa"/>
              <w:right w:w="0" w:type="dxa"/>
            </w:tcMar>
            <w:vAlign w:val="center"/>
          </w:tcPr>
          <w:p w14:paraId="4E7E60B0">
            <w:pPr>
              <w:spacing w:line="360" w:lineRule="exact"/>
              <w:ind w:left="42" w:leftChars="20" w:right="42" w:rightChars="20"/>
              <w:jc w:val="left"/>
              <w:rPr>
                <w:rFonts w:ascii="宋体" w:cs="宋体"/>
                <w:color w:val="auto"/>
                <w:sz w:val="24"/>
                <w:highlight w:val="none"/>
              </w:rPr>
            </w:pPr>
            <w:r>
              <w:rPr>
                <w:rFonts w:hint="eastAsia" w:ascii="宋体" w:cs="宋体"/>
                <w:color w:val="auto"/>
                <w:sz w:val="24"/>
                <w:highlight w:val="none"/>
              </w:rPr>
              <w:t>注：本招标文件内“投标人”、“中标人”、“承包人”即为合同内的“乙方”，“招标人”、“发包人”即为合同内的“甲方”。</w:t>
            </w:r>
          </w:p>
        </w:tc>
      </w:tr>
    </w:tbl>
    <w:p w14:paraId="4E7E60B2">
      <w:pPr>
        <w:rPr>
          <w:color w:val="auto"/>
          <w:highlight w:val="none"/>
        </w:rPr>
      </w:pPr>
    </w:p>
    <w:p w14:paraId="4E7E60B3">
      <w:pPr>
        <w:rPr>
          <w:color w:val="auto"/>
          <w:highlight w:val="none"/>
        </w:rPr>
      </w:pPr>
    </w:p>
    <w:p w14:paraId="4E7E60B4">
      <w:pPr>
        <w:spacing w:line="420" w:lineRule="exact"/>
        <w:rPr>
          <w:rFonts w:ascii="宋体" w:cs="宋体"/>
          <w:color w:val="auto"/>
          <w:sz w:val="30"/>
          <w:highlight w:val="none"/>
        </w:rPr>
      </w:pPr>
      <w:bookmarkStart w:id="9" w:name="_Toc380680820"/>
      <w:bookmarkStart w:id="10" w:name="_Toc380680180"/>
      <w:bookmarkStart w:id="11" w:name="_Toc380681013"/>
      <w:bookmarkStart w:id="12" w:name="_Toc380681232"/>
    </w:p>
    <w:p w14:paraId="4E7E60B5">
      <w:pPr>
        <w:spacing w:line="420" w:lineRule="exact"/>
        <w:rPr>
          <w:rFonts w:ascii="宋体" w:cs="宋体"/>
          <w:color w:val="auto"/>
          <w:sz w:val="30"/>
          <w:highlight w:val="none"/>
        </w:rPr>
      </w:pPr>
    </w:p>
    <w:p w14:paraId="4E7E60B6">
      <w:pPr>
        <w:spacing w:line="420" w:lineRule="exact"/>
        <w:rPr>
          <w:rFonts w:ascii="宋体" w:cs="宋体"/>
          <w:color w:val="auto"/>
          <w:sz w:val="30"/>
          <w:highlight w:val="none"/>
        </w:rPr>
      </w:pPr>
    </w:p>
    <w:p w14:paraId="4E7E60B7">
      <w:pPr>
        <w:spacing w:line="420" w:lineRule="exact"/>
        <w:rPr>
          <w:rFonts w:ascii="宋体" w:cs="宋体"/>
          <w:color w:val="auto"/>
          <w:sz w:val="30"/>
          <w:highlight w:val="none"/>
        </w:rPr>
      </w:pPr>
    </w:p>
    <w:p w14:paraId="4E7E60B8">
      <w:pPr>
        <w:spacing w:line="420" w:lineRule="exact"/>
        <w:rPr>
          <w:rFonts w:ascii="宋体" w:cs="宋体"/>
          <w:color w:val="auto"/>
          <w:sz w:val="30"/>
          <w:highlight w:val="none"/>
        </w:rPr>
      </w:pPr>
    </w:p>
    <w:p w14:paraId="4E7E60B9">
      <w:pPr>
        <w:spacing w:line="420" w:lineRule="exact"/>
        <w:rPr>
          <w:rFonts w:ascii="宋体" w:cs="宋体"/>
          <w:color w:val="auto"/>
          <w:sz w:val="30"/>
          <w:highlight w:val="none"/>
        </w:rPr>
      </w:pPr>
    </w:p>
    <w:p w14:paraId="4E7E60BA">
      <w:pPr>
        <w:spacing w:line="420" w:lineRule="exact"/>
        <w:rPr>
          <w:rFonts w:ascii="宋体" w:cs="宋体"/>
          <w:color w:val="auto"/>
          <w:sz w:val="30"/>
          <w:highlight w:val="none"/>
        </w:rPr>
      </w:pPr>
    </w:p>
    <w:p w14:paraId="4E7E60BB">
      <w:pPr>
        <w:spacing w:line="420" w:lineRule="exact"/>
        <w:rPr>
          <w:rFonts w:ascii="宋体" w:cs="宋体"/>
          <w:color w:val="auto"/>
          <w:sz w:val="30"/>
          <w:highlight w:val="none"/>
        </w:rPr>
      </w:pPr>
    </w:p>
    <w:p w14:paraId="4E7E60BC">
      <w:pPr>
        <w:rPr>
          <w:rFonts w:ascii="宋体" w:cs="宋体"/>
          <w:color w:val="auto"/>
          <w:sz w:val="30"/>
          <w:highlight w:val="none"/>
        </w:rPr>
      </w:pPr>
      <w:r>
        <w:rPr>
          <w:rFonts w:ascii="宋体" w:cs="宋体"/>
          <w:color w:val="auto"/>
          <w:sz w:val="30"/>
          <w:highlight w:val="none"/>
        </w:rPr>
        <w:br w:type="page"/>
      </w:r>
    </w:p>
    <w:p w14:paraId="4E7E60BD">
      <w:pPr>
        <w:pStyle w:val="3"/>
        <w:spacing w:before="156" w:beforeLines="50" w:after="156" w:afterLines="50" w:line="480" w:lineRule="exact"/>
        <w:jc w:val="center"/>
        <w:rPr>
          <w:rFonts w:ascii="宋体" w:eastAsia="宋体" w:cs="宋体"/>
          <w:color w:val="auto"/>
          <w:sz w:val="30"/>
          <w:highlight w:val="none"/>
        </w:rPr>
      </w:pPr>
      <w:r>
        <w:rPr>
          <w:rFonts w:hint="eastAsia" w:ascii="宋体" w:eastAsia="宋体" w:cs="宋体"/>
          <w:color w:val="auto"/>
          <w:sz w:val="30"/>
          <w:highlight w:val="none"/>
        </w:rPr>
        <w:t>二、投标须知</w:t>
      </w:r>
      <w:bookmarkEnd w:id="9"/>
      <w:bookmarkEnd w:id="10"/>
      <w:bookmarkEnd w:id="11"/>
      <w:bookmarkEnd w:id="12"/>
    </w:p>
    <w:p w14:paraId="4E7E60BE">
      <w:pPr>
        <w:jc w:val="center"/>
        <w:rPr>
          <w:rFonts w:ascii="宋体" w:cs="宋体"/>
          <w:b/>
          <w:bCs/>
          <w:color w:val="auto"/>
          <w:sz w:val="28"/>
          <w:szCs w:val="28"/>
          <w:highlight w:val="none"/>
        </w:rPr>
      </w:pPr>
      <w:bookmarkStart w:id="13" w:name="_Toc286661158"/>
      <w:bookmarkStart w:id="14" w:name="_Toc380681014"/>
      <w:bookmarkStart w:id="15" w:name="_Toc380680821"/>
      <w:bookmarkStart w:id="16" w:name="_Toc380681233"/>
      <w:bookmarkStart w:id="17" w:name="_Toc380680181"/>
      <w:r>
        <w:rPr>
          <w:rFonts w:hint="eastAsia" w:ascii="宋体" w:cs="宋体"/>
          <w:b/>
          <w:bCs/>
          <w:color w:val="auto"/>
          <w:sz w:val="28"/>
          <w:szCs w:val="28"/>
          <w:highlight w:val="none"/>
        </w:rPr>
        <w:t>（一）总 则</w:t>
      </w:r>
      <w:bookmarkEnd w:id="13"/>
      <w:bookmarkEnd w:id="14"/>
      <w:bookmarkEnd w:id="15"/>
      <w:bookmarkEnd w:id="16"/>
      <w:bookmarkEnd w:id="17"/>
    </w:p>
    <w:p w14:paraId="4E7E60BF">
      <w:pPr>
        <w:autoSpaceDE w:val="0"/>
        <w:autoSpaceDN w:val="0"/>
        <w:adjustRightInd w:val="0"/>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1.工程概况</w:t>
      </w:r>
    </w:p>
    <w:p w14:paraId="4E7E60C0">
      <w:pPr>
        <w:spacing w:line="440" w:lineRule="exact"/>
        <w:ind w:firstLine="480" w:firstLineChars="200"/>
        <w:rPr>
          <w:rFonts w:ascii="宋体" w:cs="宋体"/>
          <w:color w:val="auto"/>
          <w:sz w:val="24"/>
          <w:highlight w:val="none"/>
        </w:rPr>
      </w:pPr>
      <w:r>
        <w:rPr>
          <w:rFonts w:hint="eastAsia" w:ascii="宋体" w:cs="宋体"/>
          <w:color w:val="auto"/>
          <w:sz w:val="24"/>
          <w:highlight w:val="none"/>
        </w:rPr>
        <w:t>1.1工程名称：江苏商贸职业学院零星维修工程施工队伍招标项目。</w:t>
      </w:r>
    </w:p>
    <w:p w14:paraId="4E7E60C1">
      <w:pPr>
        <w:spacing w:line="440" w:lineRule="exact"/>
        <w:ind w:firstLine="480" w:firstLineChars="200"/>
        <w:rPr>
          <w:rFonts w:ascii="宋体" w:cs="宋体"/>
          <w:color w:val="auto"/>
          <w:sz w:val="24"/>
          <w:highlight w:val="none"/>
        </w:rPr>
      </w:pPr>
      <w:r>
        <w:rPr>
          <w:rFonts w:hint="eastAsia" w:ascii="宋体" w:cs="宋体"/>
          <w:color w:val="auto"/>
          <w:sz w:val="24"/>
          <w:highlight w:val="none"/>
        </w:rPr>
        <w:t>1.2招标范围：详见投标人须知前附表。</w:t>
      </w:r>
    </w:p>
    <w:p w14:paraId="4E7E60C2">
      <w:pPr>
        <w:spacing w:line="440" w:lineRule="exact"/>
        <w:ind w:firstLine="480" w:firstLineChars="200"/>
        <w:rPr>
          <w:rFonts w:ascii="宋体" w:cs="宋体"/>
          <w:color w:val="auto"/>
          <w:sz w:val="24"/>
          <w:highlight w:val="none"/>
        </w:rPr>
      </w:pPr>
      <w:r>
        <w:rPr>
          <w:rFonts w:hint="eastAsia" w:ascii="宋体" w:cs="宋体"/>
          <w:color w:val="auto"/>
          <w:sz w:val="24"/>
          <w:highlight w:val="none"/>
        </w:rPr>
        <w:t>1.3现场条件：</w:t>
      </w:r>
    </w:p>
    <w:p w14:paraId="4E7E60C3">
      <w:pPr>
        <w:spacing w:line="440" w:lineRule="exact"/>
        <w:ind w:firstLine="480" w:firstLineChars="200"/>
        <w:rPr>
          <w:rFonts w:ascii="宋体" w:cs="宋体"/>
          <w:color w:val="auto"/>
          <w:sz w:val="24"/>
          <w:highlight w:val="none"/>
        </w:rPr>
      </w:pPr>
      <w:r>
        <w:rPr>
          <w:rFonts w:hint="eastAsia" w:ascii="宋体" w:cs="宋体"/>
          <w:color w:val="auto"/>
          <w:sz w:val="24"/>
          <w:highlight w:val="none"/>
        </w:rPr>
        <w:t>（1）施工现场拆迁及平整情况：</w:t>
      </w:r>
      <w:r>
        <w:rPr>
          <w:rFonts w:hint="eastAsia" w:ascii="宋体" w:cs="宋体"/>
          <w:bCs/>
          <w:snapToGrid w:val="0"/>
          <w:color w:val="auto"/>
          <w:kern w:val="0"/>
          <w:sz w:val="24"/>
          <w:highlight w:val="none"/>
          <w:u w:val="single"/>
        </w:rPr>
        <w:t>现貌。</w:t>
      </w:r>
    </w:p>
    <w:p w14:paraId="4E7E60C4">
      <w:pPr>
        <w:spacing w:line="440" w:lineRule="exact"/>
        <w:ind w:firstLine="480" w:firstLineChars="200"/>
        <w:rPr>
          <w:rFonts w:ascii="宋体" w:cs="宋体"/>
          <w:color w:val="auto"/>
          <w:sz w:val="24"/>
          <w:highlight w:val="none"/>
          <w:u w:val="single"/>
        </w:rPr>
      </w:pPr>
      <w:r>
        <w:rPr>
          <w:rFonts w:hint="eastAsia" w:ascii="宋体" w:cs="宋体"/>
          <w:color w:val="auto"/>
          <w:sz w:val="24"/>
          <w:highlight w:val="none"/>
        </w:rPr>
        <w:t>（2）施工用水、电：</w:t>
      </w:r>
      <w:r>
        <w:rPr>
          <w:rFonts w:hint="eastAsia" w:ascii="宋体" w:cs="宋体"/>
          <w:bCs/>
          <w:snapToGrid w:val="0"/>
          <w:color w:val="auto"/>
          <w:kern w:val="0"/>
          <w:sz w:val="24"/>
          <w:highlight w:val="none"/>
          <w:u w:val="single"/>
        </w:rPr>
        <w:t>由投标人自行考虑，费用综合考虑到工程报价中。承包人进场时，需联系发包人安装水、电表，并及时记录初始表读数，待工程结束时一并结算。</w:t>
      </w:r>
    </w:p>
    <w:p w14:paraId="4E7E60C5">
      <w:pPr>
        <w:spacing w:line="440" w:lineRule="exact"/>
        <w:ind w:firstLine="480" w:firstLineChars="200"/>
        <w:rPr>
          <w:rFonts w:ascii="宋体" w:cs="宋体"/>
          <w:snapToGrid w:val="0"/>
          <w:color w:val="auto"/>
          <w:kern w:val="0"/>
          <w:sz w:val="24"/>
          <w:highlight w:val="none"/>
          <w:u w:val="single"/>
        </w:rPr>
      </w:pPr>
      <w:r>
        <w:rPr>
          <w:rFonts w:hint="eastAsia" w:ascii="宋体" w:cs="宋体"/>
          <w:color w:val="auto"/>
          <w:sz w:val="24"/>
          <w:highlight w:val="none"/>
        </w:rPr>
        <w:t>（3）场内外道路：</w:t>
      </w:r>
      <w:r>
        <w:rPr>
          <w:rFonts w:hint="eastAsia" w:ascii="宋体" w:cs="宋体"/>
          <w:snapToGrid w:val="0"/>
          <w:color w:val="auto"/>
          <w:kern w:val="0"/>
          <w:sz w:val="24"/>
          <w:highlight w:val="none"/>
          <w:u w:val="single"/>
        </w:rPr>
        <w:t>现貌。</w:t>
      </w:r>
    </w:p>
    <w:p w14:paraId="4E7E60C6">
      <w:pPr>
        <w:spacing w:line="440" w:lineRule="exact"/>
        <w:ind w:firstLine="480" w:firstLineChars="200"/>
        <w:rPr>
          <w:rFonts w:ascii="宋体" w:cs="宋体"/>
          <w:color w:val="auto"/>
          <w:sz w:val="28"/>
          <w:szCs w:val="28"/>
          <w:highlight w:val="none"/>
        </w:rPr>
      </w:pPr>
      <w:r>
        <w:rPr>
          <w:rFonts w:hint="eastAsia" w:ascii="宋体" w:cs="宋体"/>
          <w:color w:val="auto"/>
          <w:sz w:val="24"/>
          <w:highlight w:val="none"/>
        </w:rPr>
        <w:t>（4）其他：</w:t>
      </w:r>
      <w:r>
        <w:rPr>
          <w:rFonts w:hint="eastAsia" w:ascii="宋体" w:cs="宋体"/>
          <w:bCs/>
          <w:color w:val="auto"/>
          <w:spacing w:val="-6"/>
          <w:sz w:val="24"/>
          <w:highlight w:val="none"/>
          <w:u w:val="single"/>
        </w:rPr>
        <w:t>投标人应认真对现场环境进行踏勘，对施工现场情况和影响施工的因素以及困难条件进行周密的勘察和研究，作出自己的判断结论和估价。中标后和签订合同时及施工过程中，投标人均不得以不了解现场情况为由，提出任何形式增加工程造价的要求，施工时因场地问题引起的成本费用增加，均由投标人自行承担，结算时不予调整</w:t>
      </w:r>
      <w:r>
        <w:rPr>
          <w:rFonts w:hint="eastAsia" w:ascii="宋体" w:cs="宋体"/>
          <w:bCs/>
          <w:color w:val="auto"/>
          <w:sz w:val="25"/>
          <w:szCs w:val="25"/>
          <w:highlight w:val="none"/>
        </w:rPr>
        <w:t>。</w:t>
      </w:r>
    </w:p>
    <w:p w14:paraId="4E7E60C7">
      <w:pPr>
        <w:widowControl/>
        <w:tabs>
          <w:tab w:val="left" w:pos="0"/>
          <w:tab w:val="left" w:pos="993"/>
          <w:tab w:val="left" w:pos="1134"/>
        </w:tabs>
        <w:adjustRightInd w:val="0"/>
        <w:snapToGrid w:val="0"/>
        <w:spacing w:line="440" w:lineRule="exact"/>
        <w:ind w:firstLine="480" w:firstLineChars="200"/>
        <w:rPr>
          <w:rFonts w:ascii="宋体" w:cs="宋体"/>
          <w:color w:val="auto"/>
          <w:sz w:val="24"/>
          <w:highlight w:val="none"/>
          <w:u w:val="single"/>
        </w:rPr>
      </w:pPr>
      <w:r>
        <w:rPr>
          <w:rFonts w:hint="eastAsia" w:ascii="宋体" w:cs="宋体"/>
          <w:color w:val="auto"/>
          <w:sz w:val="24"/>
          <w:highlight w:val="none"/>
          <w:u w:val="single"/>
        </w:rPr>
        <w:t>中标人应独立、有效地做好该工程周边的有关群众工作，并充分考虑工程实施范围内外的单位、个人和其他可能出现阻挠施工的情况，若发生的机械台班停置费、二次机械进退场费、人员窝工、处理周边群众纠纷等费用和损失，由投标人自行考虑，并列入投标报价，工程结算时不作调整，并无条件接受招标人的协调、管理，做好与其他专业分包单位的配套、成品保护、防盗等工作。</w:t>
      </w:r>
    </w:p>
    <w:p w14:paraId="4E7E60C8">
      <w:pPr>
        <w:widowControl/>
        <w:tabs>
          <w:tab w:val="left" w:pos="0"/>
          <w:tab w:val="left" w:pos="993"/>
          <w:tab w:val="left" w:pos="1134"/>
        </w:tabs>
        <w:adjustRightInd w:val="0"/>
        <w:snapToGrid w:val="0"/>
        <w:spacing w:line="440" w:lineRule="exact"/>
        <w:ind w:firstLine="480" w:firstLineChars="200"/>
        <w:rPr>
          <w:rFonts w:ascii="宋体" w:cs="宋体"/>
          <w:bCs/>
          <w:snapToGrid w:val="0"/>
          <w:color w:val="auto"/>
          <w:kern w:val="0"/>
          <w:sz w:val="24"/>
          <w:highlight w:val="none"/>
          <w:u w:val="single"/>
        </w:rPr>
      </w:pPr>
      <w:r>
        <w:rPr>
          <w:rFonts w:hint="eastAsia" w:ascii="宋体" w:cs="宋体"/>
          <w:color w:val="auto"/>
          <w:sz w:val="24"/>
          <w:highlight w:val="none"/>
          <w:u w:val="single"/>
        </w:rPr>
        <w:t>投标人务必自行认真踏勘现场条件，如若对现场施工条件有疑问，请在提交疑问截止时间之</w:t>
      </w:r>
      <w:r>
        <w:rPr>
          <w:rFonts w:hint="eastAsia" w:ascii="宋体" w:cs="宋体"/>
          <w:bCs/>
          <w:color w:val="auto"/>
          <w:sz w:val="24"/>
          <w:highlight w:val="none"/>
          <w:u w:val="single"/>
        </w:rPr>
        <w:t>前</w:t>
      </w:r>
      <w:r>
        <w:rPr>
          <w:rFonts w:hint="eastAsia" w:ascii="宋体" w:cs="宋体"/>
          <w:color w:val="auto"/>
          <w:sz w:val="24"/>
          <w:highlight w:val="none"/>
          <w:u w:val="single"/>
        </w:rPr>
        <w:t>提出，否则视同认可。一旦中标不得对现场条件提出额外要求，且不得要求增加费用。</w:t>
      </w:r>
    </w:p>
    <w:p w14:paraId="4E7E60C9">
      <w:pPr>
        <w:spacing w:line="440" w:lineRule="exact"/>
        <w:ind w:firstLine="480" w:firstLineChars="200"/>
        <w:rPr>
          <w:rFonts w:ascii="宋体" w:cs="宋体"/>
          <w:color w:val="auto"/>
          <w:sz w:val="24"/>
          <w:highlight w:val="none"/>
        </w:rPr>
      </w:pPr>
      <w:r>
        <w:rPr>
          <w:rFonts w:hint="eastAsia" w:ascii="宋体" w:cs="宋体"/>
          <w:color w:val="auto"/>
          <w:sz w:val="24"/>
          <w:highlight w:val="none"/>
        </w:rPr>
        <w:t>1.4承包方式说明：</w:t>
      </w:r>
    </w:p>
    <w:p w14:paraId="4E7E60CA">
      <w:pPr>
        <w:spacing w:line="440" w:lineRule="exact"/>
        <w:ind w:firstLine="480" w:firstLineChars="200"/>
        <w:rPr>
          <w:rFonts w:ascii="宋体" w:cs="宋体"/>
          <w:color w:val="auto"/>
          <w:sz w:val="24"/>
          <w:highlight w:val="none"/>
        </w:rPr>
      </w:pPr>
      <w:r>
        <w:rPr>
          <w:rFonts w:hint="eastAsia" w:ascii="宋体" w:cs="宋体"/>
          <w:color w:val="auto"/>
          <w:sz w:val="24"/>
          <w:highlight w:val="none"/>
        </w:rPr>
        <w:t>工程发包范围内的包工、包料（发包人供应或发包人另行发包的除外）、包质量、包工其、包安全、包文明、包成品养护、包风险等。</w:t>
      </w:r>
    </w:p>
    <w:p w14:paraId="4E7E60CB">
      <w:pPr>
        <w:spacing w:line="440" w:lineRule="exact"/>
        <w:ind w:firstLine="480" w:firstLineChars="200"/>
        <w:rPr>
          <w:rFonts w:ascii="宋体" w:cs="宋体"/>
          <w:color w:val="auto"/>
          <w:sz w:val="24"/>
          <w:highlight w:val="none"/>
        </w:rPr>
      </w:pPr>
      <w:r>
        <w:rPr>
          <w:rFonts w:hint="eastAsia" w:ascii="宋体" w:cs="宋体"/>
          <w:color w:val="auto"/>
          <w:sz w:val="24"/>
          <w:highlight w:val="none"/>
        </w:rPr>
        <w:t>1.5按照《中华人民共和国招标投标法》、《工程建设项目施工招标投标办法》及相关规定，上述工程已符合招标条件，现采用</w:t>
      </w:r>
      <w:r>
        <w:rPr>
          <w:rFonts w:hint="eastAsia" w:ascii="宋体" w:cs="宋体"/>
          <w:color w:val="auto"/>
          <w:sz w:val="24"/>
          <w:highlight w:val="none"/>
          <w:u w:val="single"/>
        </w:rPr>
        <w:t>公开招标、资格后审</w:t>
      </w:r>
      <w:r>
        <w:rPr>
          <w:rFonts w:hint="eastAsia" w:ascii="宋体" w:cs="宋体"/>
          <w:color w:val="auto"/>
          <w:sz w:val="24"/>
          <w:highlight w:val="none"/>
        </w:rPr>
        <w:t>招标方式，择优选定施工单位。</w:t>
      </w:r>
    </w:p>
    <w:p w14:paraId="4E7E60CC">
      <w:pPr>
        <w:autoSpaceDE w:val="0"/>
        <w:autoSpaceDN w:val="0"/>
        <w:adjustRightInd w:val="0"/>
        <w:spacing w:line="440" w:lineRule="exact"/>
        <w:ind w:firstLine="482" w:firstLineChars="200"/>
        <w:rPr>
          <w:rFonts w:ascii="宋体" w:cs="宋体"/>
          <w:b/>
          <w:color w:val="auto"/>
          <w:kern w:val="0"/>
          <w:sz w:val="24"/>
          <w:highlight w:val="none"/>
        </w:rPr>
      </w:pPr>
      <w:bookmarkStart w:id="18" w:name="_Toc286661161"/>
      <w:r>
        <w:rPr>
          <w:rFonts w:hint="eastAsia" w:ascii="宋体" w:cs="宋体"/>
          <w:b/>
          <w:color w:val="auto"/>
          <w:kern w:val="0"/>
          <w:sz w:val="24"/>
          <w:highlight w:val="none"/>
        </w:rPr>
        <w:t>2.投标人资格要求</w:t>
      </w:r>
    </w:p>
    <w:p w14:paraId="4E7E60CD">
      <w:pPr>
        <w:widowControl/>
        <w:spacing w:line="440" w:lineRule="exact"/>
        <w:ind w:firstLine="480" w:firstLineChars="200"/>
        <w:rPr>
          <w:rFonts w:ascii="宋体" w:cs="宋体"/>
          <w:color w:val="auto"/>
          <w:sz w:val="24"/>
          <w:highlight w:val="none"/>
        </w:rPr>
      </w:pPr>
      <w:r>
        <w:rPr>
          <w:rFonts w:hint="eastAsia" w:ascii="宋体" w:cs="宋体"/>
          <w:color w:val="auto"/>
          <w:sz w:val="24"/>
          <w:highlight w:val="none"/>
        </w:rPr>
        <w:t>2.1参加投标的施工单位必须具有独立法人资格和</w:t>
      </w:r>
      <w:r>
        <w:rPr>
          <w:rFonts w:hint="eastAsia" w:ascii="宋体" w:cs="宋体"/>
          <w:b/>
          <w:color w:val="auto"/>
          <w:sz w:val="24"/>
          <w:highlight w:val="none"/>
          <w:u w:val="single"/>
        </w:rPr>
        <w:t>建筑工程施工总承包叁级及以上资质</w:t>
      </w:r>
      <w:r>
        <w:rPr>
          <w:rFonts w:hint="eastAsia" w:ascii="宋体" w:cs="宋体"/>
          <w:color w:val="auto"/>
          <w:sz w:val="24"/>
          <w:highlight w:val="none"/>
        </w:rPr>
        <w:t>；</w:t>
      </w:r>
    </w:p>
    <w:p w14:paraId="4E7E60CE">
      <w:pPr>
        <w:widowControl/>
        <w:spacing w:line="440" w:lineRule="exact"/>
        <w:ind w:firstLine="480" w:firstLineChars="200"/>
        <w:rPr>
          <w:rFonts w:ascii="宋体" w:cs="宋体"/>
          <w:color w:val="auto"/>
          <w:sz w:val="24"/>
          <w:highlight w:val="none"/>
        </w:rPr>
      </w:pPr>
      <w:r>
        <w:rPr>
          <w:rFonts w:hint="eastAsia" w:ascii="宋体" w:cs="宋体"/>
          <w:color w:val="auto"/>
          <w:sz w:val="24"/>
          <w:highlight w:val="none"/>
        </w:rPr>
        <w:t>2.2企业具备安全生产条件，并取得安全生产许可证；</w:t>
      </w:r>
    </w:p>
    <w:p w14:paraId="4E7E60CF">
      <w:pPr>
        <w:widowControl/>
        <w:spacing w:line="440" w:lineRule="exact"/>
        <w:ind w:firstLine="480" w:firstLineChars="200"/>
        <w:rPr>
          <w:rFonts w:ascii="宋体" w:cs="宋体"/>
          <w:color w:val="auto"/>
          <w:sz w:val="24"/>
          <w:highlight w:val="none"/>
        </w:rPr>
      </w:pPr>
      <w:r>
        <w:rPr>
          <w:rFonts w:hint="eastAsia" w:ascii="宋体" w:cs="宋体"/>
          <w:color w:val="auto"/>
          <w:sz w:val="24"/>
          <w:highlight w:val="none"/>
        </w:rPr>
        <w:t>2.3拟派项目负责人必须具有</w:t>
      </w:r>
      <w:r>
        <w:rPr>
          <w:rFonts w:hint="eastAsia" w:ascii="宋体" w:cs="宋体"/>
          <w:b/>
          <w:color w:val="auto"/>
          <w:sz w:val="24"/>
          <w:highlight w:val="none"/>
          <w:u w:val="single"/>
        </w:rPr>
        <w:t>建筑工程贰级及以上注册建造师资质，具备有效的安全生产考核合格证书(B证)</w:t>
      </w:r>
      <w:r>
        <w:rPr>
          <w:rFonts w:hint="eastAsia" w:ascii="宋体" w:cs="宋体"/>
          <w:color w:val="auto"/>
          <w:sz w:val="24"/>
          <w:highlight w:val="none"/>
        </w:rPr>
        <w:t>；</w:t>
      </w:r>
    </w:p>
    <w:p w14:paraId="4E7E60D0">
      <w:pPr>
        <w:widowControl/>
        <w:spacing w:line="440" w:lineRule="exact"/>
        <w:ind w:firstLine="480" w:firstLineChars="200"/>
        <w:rPr>
          <w:rFonts w:ascii="宋体" w:cs="宋体"/>
          <w:color w:val="auto"/>
          <w:sz w:val="24"/>
          <w:highlight w:val="none"/>
        </w:rPr>
      </w:pPr>
      <w:r>
        <w:rPr>
          <w:rFonts w:hint="eastAsia" w:ascii="宋体" w:cs="宋体"/>
          <w:color w:val="auto"/>
          <w:sz w:val="24"/>
          <w:highlight w:val="none"/>
        </w:rPr>
        <w:t>2.4拟派的项目负责人及授权委托人均为投标企业正式人员；</w:t>
      </w:r>
    </w:p>
    <w:p w14:paraId="4E7E60D1">
      <w:pPr>
        <w:widowControl/>
        <w:spacing w:line="440" w:lineRule="exact"/>
        <w:ind w:firstLine="480" w:firstLineChars="200"/>
        <w:rPr>
          <w:rFonts w:ascii="宋体" w:cs="宋体"/>
          <w:color w:val="auto"/>
          <w:sz w:val="24"/>
          <w:highlight w:val="none"/>
        </w:rPr>
      </w:pPr>
      <w:r>
        <w:rPr>
          <w:rFonts w:hint="eastAsia" w:ascii="宋体" w:cs="宋体"/>
          <w:color w:val="auto"/>
          <w:sz w:val="24"/>
          <w:highlight w:val="none"/>
        </w:rPr>
        <w:t>2.5企业业绩要求：自20</w:t>
      </w:r>
      <w:r>
        <w:rPr>
          <w:rFonts w:ascii="宋体" w:cs="宋体"/>
          <w:color w:val="auto"/>
          <w:sz w:val="24"/>
          <w:highlight w:val="none"/>
        </w:rPr>
        <w:t>23</w:t>
      </w:r>
      <w:r>
        <w:rPr>
          <w:rFonts w:hint="eastAsia" w:ascii="宋体" w:cs="宋体"/>
          <w:color w:val="auto"/>
          <w:sz w:val="24"/>
          <w:highlight w:val="none"/>
        </w:rPr>
        <w:t>年1月1日以来（以合同签订时间为准）投标企业承担过合同额在4万元及以上的修缮或改造工程施工业绩。</w:t>
      </w:r>
    </w:p>
    <w:p w14:paraId="4E7E60D2">
      <w:pPr>
        <w:widowControl/>
        <w:spacing w:line="440" w:lineRule="exact"/>
        <w:ind w:firstLine="480" w:firstLineChars="200"/>
        <w:rPr>
          <w:rFonts w:ascii="宋体" w:cs="宋体"/>
          <w:color w:val="auto"/>
          <w:sz w:val="24"/>
          <w:highlight w:val="none"/>
        </w:rPr>
      </w:pPr>
      <w:r>
        <w:rPr>
          <w:rFonts w:hint="eastAsia" w:ascii="宋体" w:cs="宋体"/>
          <w:color w:val="auto"/>
          <w:sz w:val="24"/>
          <w:highlight w:val="none"/>
        </w:rPr>
        <w:t>2.6企业财务和经营状况良好，具备履行合同能力，无不良经营行为；未处于被责令停业、投标资格被取消或者财产被接管、冻结和破产状态；无因投标申请人违约或不恰当履约引起的合同争议纠纷及仲裁和诉讼记录；</w:t>
      </w:r>
    </w:p>
    <w:p w14:paraId="4E7E60D3">
      <w:pPr>
        <w:widowControl/>
        <w:spacing w:line="440" w:lineRule="exact"/>
        <w:ind w:firstLine="480" w:firstLineChars="200"/>
        <w:rPr>
          <w:rFonts w:ascii="宋体" w:cs="宋体"/>
          <w:color w:val="auto"/>
          <w:sz w:val="24"/>
          <w:highlight w:val="none"/>
        </w:rPr>
      </w:pPr>
      <w:r>
        <w:rPr>
          <w:rFonts w:hint="eastAsia" w:ascii="宋体" w:cs="宋体"/>
          <w:color w:val="auto"/>
          <w:sz w:val="24"/>
          <w:highlight w:val="none"/>
        </w:rPr>
        <w:t>2.7本工程不接受联合体方式的投标；</w:t>
      </w:r>
    </w:p>
    <w:p w14:paraId="4E7E60D4">
      <w:pPr>
        <w:widowControl/>
        <w:spacing w:line="440" w:lineRule="exact"/>
        <w:ind w:firstLine="480" w:firstLineChars="200"/>
        <w:rPr>
          <w:rFonts w:ascii="宋体" w:cs="宋体"/>
          <w:color w:val="auto"/>
          <w:sz w:val="24"/>
          <w:highlight w:val="none"/>
        </w:rPr>
      </w:pPr>
      <w:r>
        <w:rPr>
          <w:rFonts w:hint="eastAsia" w:ascii="宋体" w:cs="宋体"/>
          <w:color w:val="auto"/>
          <w:sz w:val="24"/>
          <w:highlight w:val="none"/>
        </w:rPr>
        <w:t>2.8其他要求：详见第二章评标办法。</w:t>
      </w:r>
    </w:p>
    <w:p w14:paraId="4E7E60D5">
      <w:pPr>
        <w:autoSpaceDE w:val="0"/>
        <w:autoSpaceDN w:val="0"/>
        <w:adjustRightInd w:val="0"/>
        <w:spacing w:line="44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3.投标费用</w:t>
      </w:r>
    </w:p>
    <w:p w14:paraId="4E7E60D6">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cs="宋体"/>
          <w:bCs/>
          <w:color w:val="auto"/>
          <w:sz w:val="24"/>
          <w:highlight w:val="none"/>
        </w:rPr>
        <w:t>3.1</w:t>
      </w:r>
      <w:r>
        <w:rPr>
          <w:rFonts w:hint="eastAsia" w:ascii="宋体" w:hAnsi="宋体" w:cs="宋体"/>
          <w:color w:val="auto"/>
          <w:kern w:val="0"/>
          <w:sz w:val="24"/>
          <w:highlight w:val="none"/>
        </w:rPr>
        <w:t>投标人承担参与投标可能发生的全部费用，代理机构在任何情况下均无义务和责任承担这些费用。</w:t>
      </w:r>
    </w:p>
    <w:p w14:paraId="4E7E60D7">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ascii="宋体" w:hAnsi="宋体" w:cs="宋体"/>
          <w:color w:val="auto"/>
          <w:kern w:val="0"/>
          <w:sz w:val="24"/>
          <w:highlight w:val="none"/>
        </w:rPr>
        <w:t>3</w:t>
      </w:r>
      <w:r>
        <w:rPr>
          <w:rFonts w:hint="eastAsia" w:ascii="宋体" w:hAnsi="宋体" w:cs="宋体"/>
          <w:color w:val="auto"/>
          <w:kern w:val="0"/>
          <w:sz w:val="24"/>
          <w:highlight w:val="none"/>
        </w:rPr>
        <w:t>.2本项目招标代理费收取标准以成交金额为基准，乘以招标代理收费费率，由中标供应商支付，供应商综合考虑在报价内（不单列）。</w:t>
      </w:r>
    </w:p>
    <w:p w14:paraId="4E7E60D8">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本项目招标代理收费费率标准：</w:t>
      </w:r>
    </w:p>
    <w:tbl>
      <w:tblPr>
        <w:tblStyle w:val="35"/>
        <w:tblW w:w="45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223"/>
        <w:gridCol w:w="2965"/>
      </w:tblGrid>
      <w:tr w14:paraId="4E7E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86" w:type="pct"/>
            <w:vMerge w:val="restart"/>
            <w:tcBorders>
              <w:top w:val="single" w:color="auto" w:sz="4" w:space="0"/>
              <w:left w:val="single" w:color="auto" w:sz="4" w:space="0"/>
              <w:right w:val="single" w:color="auto" w:sz="4" w:space="0"/>
            </w:tcBorders>
            <w:vAlign w:val="center"/>
          </w:tcPr>
          <w:p w14:paraId="4E7E60D9">
            <w:pPr>
              <w:widowControl/>
              <w:adjustRightInd w:val="0"/>
              <w:snapToGrid w:val="0"/>
              <w:spacing w:line="460" w:lineRule="exact"/>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序号</w:t>
            </w:r>
          </w:p>
        </w:tc>
        <w:tc>
          <w:tcPr>
            <w:tcW w:w="2534" w:type="pct"/>
            <w:vMerge w:val="restart"/>
            <w:tcBorders>
              <w:top w:val="single" w:color="auto" w:sz="4" w:space="0"/>
              <w:left w:val="single" w:color="auto" w:sz="4" w:space="0"/>
              <w:right w:val="single" w:color="auto" w:sz="4" w:space="0"/>
            </w:tcBorders>
            <w:vAlign w:val="center"/>
          </w:tcPr>
          <w:p w14:paraId="4E7E60DA">
            <w:pPr>
              <w:widowControl/>
              <w:adjustRightInd w:val="0"/>
              <w:snapToGrid w:val="0"/>
              <w:spacing w:line="460" w:lineRule="exact"/>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服务费类型（按成交金额）</w:t>
            </w:r>
          </w:p>
        </w:tc>
        <w:tc>
          <w:tcPr>
            <w:tcW w:w="1779" w:type="pct"/>
            <w:vMerge w:val="restart"/>
            <w:tcBorders>
              <w:top w:val="single" w:color="auto" w:sz="4" w:space="0"/>
              <w:left w:val="single" w:color="auto" w:sz="4" w:space="0"/>
              <w:right w:val="single" w:color="auto" w:sz="4" w:space="0"/>
            </w:tcBorders>
            <w:vAlign w:val="center"/>
          </w:tcPr>
          <w:p w14:paraId="4E7E60DB">
            <w:pPr>
              <w:widowControl/>
              <w:adjustRightInd w:val="0"/>
              <w:snapToGrid w:val="0"/>
              <w:spacing w:line="460" w:lineRule="exact"/>
              <w:jc w:val="center"/>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收费标准 </w:t>
            </w:r>
          </w:p>
        </w:tc>
      </w:tr>
      <w:tr w14:paraId="4E7E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86" w:type="pct"/>
            <w:vMerge w:val="continue"/>
            <w:tcBorders>
              <w:left w:val="single" w:color="auto" w:sz="4" w:space="0"/>
              <w:bottom w:val="single" w:color="auto" w:sz="4" w:space="0"/>
              <w:right w:val="single" w:color="auto" w:sz="4" w:space="0"/>
            </w:tcBorders>
            <w:vAlign w:val="center"/>
          </w:tcPr>
          <w:p w14:paraId="4E7E60DD">
            <w:pPr>
              <w:widowControl/>
              <w:adjustRightInd w:val="0"/>
              <w:snapToGrid w:val="0"/>
              <w:spacing w:line="460" w:lineRule="exact"/>
              <w:jc w:val="center"/>
              <w:rPr>
                <w:rFonts w:asciiTheme="minorEastAsia" w:hAnsiTheme="minorEastAsia" w:eastAsiaTheme="minorEastAsia" w:cstheme="minorEastAsia"/>
                <w:color w:val="auto"/>
                <w:sz w:val="24"/>
                <w:highlight w:val="none"/>
              </w:rPr>
            </w:pPr>
          </w:p>
        </w:tc>
        <w:tc>
          <w:tcPr>
            <w:tcW w:w="2534" w:type="pct"/>
            <w:vMerge w:val="continue"/>
            <w:tcBorders>
              <w:left w:val="single" w:color="auto" w:sz="4" w:space="0"/>
              <w:bottom w:val="single" w:color="auto" w:sz="4" w:space="0"/>
              <w:right w:val="single" w:color="auto" w:sz="4" w:space="0"/>
            </w:tcBorders>
            <w:vAlign w:val="center"/>
          </w:tcPr>
          <w:p w14:paraId="4E7E60DE">
            <w:pPr>
              <w:widowControl/>
              <w:adjustRightInd w:val="0"/>
              <w:snapToGrid w:val="0"/>
              <w:spacing w:line="460" w:lineRule="exact"/>
              <w:jc w:val="center"/>
              <w:rPr>
                <w:rFonts w:asciiTheme="minorEastAsia" w:hAnsiTheme="minorEastAsia" w:eastAsiaTheme="minorEastAsia" w:cstheme="minorEastAsia"/>
                <w:color w:val="auto"/>
                <w:sz w:val="24"/>
                <w:highlight w:val="none"/>
              </w:rPr>
            </w:pPr>
          </w:p>
        </w:tc>
        <w:tc>
          <w:tcPr>
            <w:tcW w:w="1779" w:type="pct"/>
            <w:vMerge w:val="continue"/>
            <w:tcBorders>
              <w:left w:val="single" w:color="auto" w:sz="4" w:space="0"/>
              <w:bottom w:val="single" w:color="auto" w:sz="4" w:space="0"/>
              <w:right w:val="single" w:color="auto" w:sz="4" w:space="0"/>
            </w:tcBorders>
            <w:vAlign w:val="center"/>
          </w:tcPr>
          <w:p w14:paraId="4E7E60DF">
            <w:pPr>
              <w:widowControl/>
              <w:adjustRightInd w:val="0"/>
              <w:snapToGrid w:val="0"/>
              <w:spacing w:line="460" w:lineRule="exact"/>
              <w:jc w:val="center"/>
              <w:rPr>
                <w:rFonts w:asciiTheme="minorEastAsia" w:hAnsiTheme="minorEastAsia" w:eastAsiaTheme="minorEastAsia" w:cstheme="minorEastAsia"/>
                <w:color w:val="auto"/>
                <w:sz w:val="24"/>
                <w:highlight w:val="none"/>
              </w:rPr>
            </w:pPr>
          </w:p>
        </w:tc>
      </w:tr>
      <w:tr w14:paraId="4E7E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86" w:type="pct"/>
            <w:tcBorders>
              <w:top w:val="single" w:color="auto" w:sz="4" w:space="0"/>
              <w:left w:val="single" w:color="auto" w:sz="4" w:space="0"/>
              <w:bottom w:val="single" w:color="auto" w:sz="4" w:space="0"/>
              <w:right w:val="single" w:color="auto" w:sz="4" w:space="0"/>
            </w:tcBorders>
            <w:vAlign w:val="center"/>
          </w:tcPr>
          <w:p w14:paraId="4E7E60E1">
            <w:pPr>
              <w:widowControl/>
              <w:adjustRightInd w:val="0"/>
              <w:snapToGrid w:val="0"/>
              <w:spacing w:line="46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2534" w:type="pct"/>
            <w:tcBorders>
              <w:top w:val="single" w:color="auto" w:sz="4" w:space="0"/>
              <w:left w:val="single" w:color="auto" w:sz="4" w:space="0"/>
              <w:bottom w:val="single" w:color="auto" w:sz="4" w:space="0"/>
              <w:right w:val="single" w:color="auto" w:sz="4" w:space="0"/>
            </w:tcBorders>
            <w:vAlign w:val="center"/>
          </w:tcPr>
          <w:p w14:paraId="4E7E60E2">
            <w:pPr>
              <w:widowControl/>
              <w:adjustRightInd w:val="0"/>
              <w:snapToGrid w:val="0"/>
              <w:spacing w:line="46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工程招标代理服务、咨询费率(100万元以上）含100万</w:t>
            </w:r>
          </w:p>
        </w:tc>
        <w:tc>
          <w:tcPr>
            <w:tcW w:w="1779" w:type="pct"/>
            <w:tcBorders>
              <w:top w:val="single" w:color="auto" w:sz="4" w:space="0"/>
              <w:left w:val="single" w:color="auto" w:sz="4" w:space="0"/>
              <w:bottom w:val="single" w:color="auto" w:sz="4" w:space="0"/>
              <w:right w:val="single" w:color="auto" w:sz="4" w:space="0"/>
            </w:tcBorders>
            <w:vAlign w:val="center"/>
          </w:tcPr>
          <w:p w14:paraId="4E7E60E3">
            <w:pPr>
              <w:widowControl/>
              <w:adjustRightInd w:val="0"/>
              <w:snapToGrid w:val="0"/>
              <w:spacing w:line="46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中标价的0.3%</w:t>
            </w:r>
          </w:p>
        </w:tc>
      </w:tr>
      <w:tr w14:paraId="4E7E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86" w:type="pct"/>
            <w:tcBorders>
              <w:top w:val="single" w:color="auto" w:sz="4" w:space="0"/>
              <w:left w:val="single" w:color="auto" w:sz="4" w:space="0"/>
              <w:bottom w:val="single" w:color="auto" w:sz="4" w:space="0"/>
              <w:right w:val="single" w:color="auto" w:sz="4" w:space="0"/>
            </w:tcBorders>
            <w:vAlign w:val="center"/>
          </w:tcPr>
          <w:p w14:paraId="4E7E60E5">
            <w:pPr>
              <w:widowControl/>
              <w:adjustRightInd w:val="0"/>
              <w:snapToGrid w:val="0"/>
              <w:spacing w:line="46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2534" w:type="pct"/>
            <w:tcBorders>
              <w:top w:val="single" w:color="auto" w:sz="4" w:space="0"/>
              <w:left w:val="single" w:color="auto" w:sz="4" w:space="0"/>
              <w:bottom w:val="single" w:color="auto" w:sz="4" w:space="0"/>
              <w:right w:val="single" w:color="auto" w:sz="4" w:space="0"/>
            </w:tcBorders>
            <w:vAlign w:val="center"/>
          </w:tcPr>
          <w:p w14:paraId="4E7E60E6">
            <w:pPr>
              <w:widowControl/>
              <w:adjustRightInd w:val="0"/>
              <w:snapToGrid w:val="0"/>
              <w:spacing w:line="46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货物、服务和工程招标代理、咨询服务费(50万元-100万元）含50万</w:t>
            </w:r>
          </w:p>
        </w:tc>
        <w:tc>
          <w:tcPr>
            <w:tcW w:w="1779" w:type="pct"/>
            <w:tcBorders>
              <w:top w:val="single" w:color="auto" w:sz="4" w:space="0"/>
              <w:left w:val="single" w:color="auto" w:sz="4" w:space="0"/>
              <w:bottom w:val="single" w:color="auto" w:sz="4" w:space="0"/>
              <w:right w:val="single" w:color="auto" w:sz="4" w:space="0"/>
            </w:tcBorders>
            <w:vAlign w:val="center"/>
          </w:tcPr>
          <w:p w14:paraId="4E7E60E7">
            <w:pPr>
              <w:widowControl/>
              <w:adjustRightInd w:val="0"/>
              <w:snapToGrid w:val="0"/>
              <w:spacing w:line="46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2500.00元</w:t>
            </w:r>
          </w:p>
        </w:tc>
      </w:tr>
    </w:tbl>
    <w:p w14:paraId="4E7E60E9">
      <w:pPr>
        <w:autoSpaceDE w:val="0"/>
        <w:autoSpaceDN w:val="0"/>
        <w:adjustRightInd w:val="0"/>
        <w:spacing w:line="420" w:lineRule="exact"/>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代理费等费用定标后由中标候选人支付给代理机构。因中标人原因导致中标结果变更或取消中标资格等，代理费不予退还。</w:t>
      </w:r>
    </w:p>
    <w:p w14:paraId="4E7E60EA">
      <w:pPr>
        <w:autoSpaceDE w:val="0"/>
        <w:autoSpaceDN w:val="0"/>
        <w:adjustRightInd w:val="0"/>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4．踏勘现场</w:t>
      </w:r>
    </w:p>
    <w:p w14:paraId="4E7E60EB">
      <w:pPr>
        <w:numPr>
          <w:ilvl w:val="0"/>
          <w:numId w:val="1"/>
        </w:numPr>
        <w:tabs>
          <w:tab w:val="left" w:pos="875"/>
          <w:tab w:val="clear" w:pos="720"/>
        </w:tabs>
        <w:overflowPunct w:val="0"/>
        <w:autoSpaceDE w:val="0"/>
        <w:autoSpaceDN w:val="0"/>
        <w:adjustRightInd w:val="0"/>
        <w:spacing w:line="440" w:lineRule="exact"/>
        <w:ind w:left="0" w:firstLine="480" w:firstLineChars="200"/>
        <w:rPr>
          <w:rFonts w:ascii="宋体" w:cs="宋体"/>
          <w:color w:val="auto"/>
          <w:kern w:val="0"/>
          <w:sz w:val="24"/>
          <w:highlight w:val="none"/>
        </w:rPr>
      </w:pPr>
      <w:r>
        <w:rPr>
          <w:rFonts w:hint="eastAsia" w:ascii="宋体" w:cs="宋体"/>
          <w:color w:val="auto"/>
          <w:kern w:val="0"/>
          <w:sz w:val="24"/>
          <w:highlight w:val="none"/>
        </w:rPr>
        <w:t xml:space="preserve"> 经招标人允许，投标人可为踏勘目的进入招标人的项目现场，但投标人不得因此使招标人承担有关的责任和蒙受损失，投标人应承担踏勘现场的责任和风险。 </w:t>
      </w:r>
    </w:p>
    <w:p w14:paraId="4E7E60EC">
      <w:pPr>
        <w:numPr>
          <w:ilvl w:val="0"/>
          <w:numId w:val="1"/>
        </w:numPr>
        <w:tabs>
          <w:tab w:val="left" w:pos="875"/>
          <w:tab w:val="clear" w:pos="720"/>
        </w:tabs>
        <w:overflowPunct w:val="0"/>
        <w:autoSpaceDE w:val="0"/>
        <w:autoSpaceDN w:val="0"/>
        <w:adjustRightInd w:val="0"/>
        <w:spacing w:line="440" w:lineRule="exact"/>
        <w:ind w:left="0" w:firstLine="480" w:firstLineChars="200"/>
        <w:rPr>
          <w:rFonts w:ascii="宋体" w:cs="宋体"/>
          <w:color w:val="auto"/>
          <w:kern w:val="0"/>
          <w:sz w:val="24"/>
          <w:highlight w:val="none"/>
        </w:rPr>
      </w:pPr>
      <w:r>
        <w:rPr>
          <w:rFonts w:hint="eastAsia" w:ascii="宋体" w:cs="宋体"/>
          <w:color w:val="auto"/>
          <w:kern w:val="0"/>
          <w:sz w:val="24"/>
          <w:highlight w:val="none"/>
        </w:rPr>
        <w:t xml:space="preserve"> 投标人自行对工程现场及周围环境进行踏勘，以便投标人获取有关编制投标文件和签署合同所涉及的现场资料。投标人承担踏勘现场发生的一切费用。 </w:t>
      </w:r>
    </w:p>
    <w:p w14:paraId="4E7E60ED">
      <w:pPr>
        <w:numPr>
          <w:ilvl w:val="0"/>
          <w:numId w:val="1"/>
        </w:numPr>
        <w:tabs>
          <w:tab w:val="left" w:pos="875"/>
          <w:tab w:val="clear" w:pos="720"/>
        </w:tabs>
        <w:overflowPunct w:val="0"/>
        <w:autoSpaceDE w:val="0"/>
        <w:autoSpaceDN w:val="0"/>
        <w:adjustRightInd w:val="0"/>
        <w:spacing w:line="440" w:lineRule="exact"/>
        <w:ind w:left="0" w:firstLine="480" w:firstLineChars="200"/>
        <w:rPr>
          <w:rFonts w:ascii="宋体" w:cs="宋体"/>
          <w:color w:val="auto"/>
          <w:kern w:val="0"/>
          <w:sz w:val="24"/>
          <w:highlight w:val="none"/>
        </w:rPr>
      </w:pPr>
      <w:r>
        <w:rPr>
          <w:rFonts w:hint="eastAsia" w:ascii="宋体" w:cs="宋体"/>
          <w:color w:val="auto"/>
          <w:kern w:val="0"/>
          <w:sz w:val="24"/>
          <w:highlight w:val="none"/>
        </w:rPr>
        <w:t xml:space="preserve"> 招标人向投标人提供的有关现场的数据和资料，是招标人现有的能被投标人利用的资料，招标人对投标人作出的任何推论、理解和结论均不负责任。 </w:t>
      </w:r>
    </w:p>
    <w:p w14:paraId="4E7E60EE">
      <w:pPr>
        <w:numPr>
          <w:ilvl w:val="0"/>
          <w:numId w:val="1"/>
        </w:numPr>
        <w:tabs>
          <w:tab w:val="left" w:pos="875"/>
          <w:tab w:val="clear" w:pos="720"/>
        </w:tabs>
        <w:overflowPunct w:val="0"/>
        <w:autoSpaceDE w:val="0"/>
        <w:autoSpaceDN w:val="0"/>
        <w:adjustRightInd w:val="0"/>
        <w:spacing w:line="440" w:lineRule="exact"/>
        <w:ind w:left="0" w:firstLine="480" w:firstLineChars="200"/>
        <w:rPr>
          <w:rFonts w:ascii="宋体" w:cs="宋体"/>
          <w:color w:val="auto"/>
          <w:kern w:val="0"/>
          <w:sz w:val="24"/>
          <w:highlight w:val="none"/>
        </w:rPr>
      </w:pPr>
      <w:r>
        <w:rPr>
          <w:rFonts w:hint="eastAsia" w:ascii="宋体" w:cs="宋体"/>
          <w:color w:val="auto"/>
          <w:kern w:val="0"/>
          <w:sz w:val="24"/>
          <w:highlight w:val="none"/>
        </w:rPr>
        <w:t xml:space="preserve"> 投标人应充分考虑标书制作过程中的数据变化因素，检查确认标书内容的正确完整和对招标文件的响应程度。</w:t>
      </w:r>
    </w:p>
    <w:p w14:paraId="4E7E60EF">
      <w:pPr>
        <w:spacing w:line="400" w:lineRule="exact"/>
        <w:ind w:firstLine="480" w:firstLineChars="200"/>
        <w:jc w:val="left"/>
        <w:rPr>
          <w:rFonts w:ascii="宋体" w:cs="宋体"/>
          <w:bCs/>
          <w:color w:val="auto"/>
          <w:kern w:val="0"/>
          <w:sz w:val="24"/>
          <w:highlight w:val="none"/>
        </w:rPr>
      </w:pPr>
      <w:r>
        <w:rPr>
          <w:rFonts w:hint="eastAsia" w:ascii="宋体" w:cs="宋体"/>
          <w:bCs/>
          <w:color w:val="auto"/>
          <w:kern w:val="0"/>
          <w:sz w:val="24"/>
          <w:highlight w:val="none"/>
        </w:rPr>
        <w:t>4.5</w:t>
      </w:r>
      <w:r>
        <w:rPr>
          <w:rFonts w:hint="eastAsia" w:cs="宋体"/>
          <w:bCs/>
          <w:color w:val="auto"/>
          <w:kern w:val="0"/>
          <w:sz w:val="24"/>
          <w:highlight w:val="none"/>
        </w:rPr>
        <w:t>投标人如有疑问需要澄清，应于2026年</w:t>
      </w:r>
      <w:r>
        <w:rPr>
          <w:rFonts w:hint="eastAsia" w:cs="宋体"/>
          <w:bCs/>
          <w:color w:val="auto"/>
          <w:kern w:val="0"/>
          <w:sz w:val="24"/>
          <w:highlight w:val="none"/>
          <w:lang w:val="en-US" w:eastAsia="zh-CN"/>
        </w:rPr>
        <w:t>9</w:t>
      </w:r>
      <w:r>
        <w:rPr>
          <w:rFonts w:hint="eastAsia" w:cs="宋体"/>
          <w:bCs/>
          <w:color w:val="auto"/>
          <w:kern w:val="0"/>
          <w:sz w:val="24"/>
          <w:highlight w:val="none"/>
        </w:rPr>
        <w:t>月</w:t>
      </w:r>
      <w:r>
        <w:rPr>
          <w:rFonts w:hint="eastAsia" w:cs="宋体"/>
          <w:bCs/>
          <w:color w:val="auto"/>
          <w:kern w:val="0"/>
          <w:sz w:val="24"/>
          <w:highlight w:val="none"/>
          <w:lang w:val="en-US" w:eastAsia="zh-CN"/>
        </w:rPr>
        <w:t>9</w:t>
      </w:r>
      <w:r>
        <w:rPr>
          <w:rFonts w:hint="eastAsia" w:cs="宋体"/>
          <w:bCs/>
          <w:color w:val="auto"/>
          <w:kern w:val="0"/>
          <w:sz w:val="24"/>
          <w:highlight w:val="none"/>
        </w:rPr>
        <w:t>日17点前向招标人提出，在此时间之后的任何疑问招标人将拒绝回答。</w:t>
      </w:r>
    </w:p>
    <w:p w14:paraId="4E7E60F0">
      <w:pPr>
        <w:ind w:firstLine="3795" w:firstLineChars="1350"/>
        <w:rPr>
          <w:rFonts w:ascii="宋体" w:cs="宋体"/>
          <w:b/>
          <w:bCs/>
          <w:color w:val="auto"/>
          <w:sz w:val="28"/>
          <w:szCs w:val="28"/>
          <w:highlight w:val="none"/>
        </w:rPr>
      </w:pPr>
      <w:bookmarkStart w:id="19" w:name="_Toc380681015"/>
      <w:bookmarkStart w:id="20" w:name="_Toc380681234"/>
      <w:bookmarkStart w:id="21" w:name="_Toc380680822"/>
    </w:p>
    <w:p w14:paraId="4E7E60F1">
      <w:pPr>
        <w:ind w:firstLine="3795" w:firstLineChars="1350"/>
        <w:rPr>
          <w:rFonts w:ascii="宋体" w:cs="宋体"/>
          <w:b/>
          <w:bCs/>
          <w:color w:val="auto"/>
          <w:sz w:val="28"/>
          <w:szCs w:val="28"/>
          <w:highlight w:val="none"/>
        </w:rPr>
      </w:pPr>
      <w:r>
        <w:rPr>
          <w:rFonts w:hint="eastAsia" w:ascii="宋体" w:cs="宋体"/>
          <w:b/>
          <w:bCs/>
          <w:color w:val="auto"/>
          <w:sz w:val="28"/>
          <w:szCs w:val="28"/>
          <w:highlight w:val="none"/>
        </w:rPr>
        <w:t>（二）招标文件</w:t>
      </w:r>
      <w:bookmarkEnd w:id="19"/>
      <w:bookmarkEnd w:id="20"/>
      <w:bookmarkEnd w:id="21"/>
    </w:p>
    <w:p w14:paraId="4E7E60F2">
      <w:pPr>
        <w:autoSpaceDE w:val="0"/>
        <w:autoSpaceDN w:val="0"/>
        <w:adjustRightInd w:val="0"/>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5.招标文件的组成</w:t>
      </w:r>
    </w:p>
    <w:p w14:paraId="4E7E60F3">
      <w:pPr>
        <w:spacing w:line="440" w:lineRule="exact"/>
        <w:ind w:firstLine="480" w:firstLineChars="200"/>
        <w:rPr>
          <w:rFonts w:ascii="宋体" w:cs="宋体"/>
          <w:color w:val="auto"/>
          <w:sz w:val="24"/>
          <w:highlight w:val="none"/>
        </w:rPr>
      </w:pPr>
      <w:r>
        <w:rPr>
          <w:rFonts w:hint="eastAsia" w:ascii="宋体" w:cs="宋体"/>
          <w:color w:val="auto"/>
          <w:sz w:val="24"/>
          <w:highlight w:val="none"/>
        </w:rPr>
        <w:t>5.1招标文件包括下列内容：</w:t>
      </w:r>
    </w:p>
    <w:p w14:paraId="4E7E60F4">
      <w:pPr>
        <w:spacing w:line="440" w:lineRule="exact"/>
        <w:ind w:firstLine="480" w:firstLineChars="200"/>
        <w:rPr>
          <w:rFonts w:ascii="宋体" w:cs="宋体"/>
          <w:color w:val="auto"/>
          <w:sz w:val="24"/>
          <w:highlight w:val="none"/>
        </w:rPr>
      </w:pPr>
      <w:r>
        <w:rPr>
          <w:rFonts w:hint="eastAsia" w:ascii="宋体" w:cs="宋体"/>
          <w:color w:val="auto"/>
          <w:sz w:val="24"/>
          <w:highlight w:val="none"/>
        </w:rPr>
        <w:t>第一章：投标须知</w:t>
      </w:r>
    </w:p>
    <w:p w14:paraId="4E7E60F5">
      <w:pPr>
        <w:spacing w:line="440" w:lineRule="exact"/>
        <w:ind w:firstLine="480" w:firstLineChars="200"/>
        <w:rPr>
          <w:rFonts w:ascii="宋体" w:cs="宋体"/>
          <w:color w:val="auto"/>
          <w:sz w:val="24"/>
          <w:highlight w:val="none"/>
        </w:rPr>
      </w:pPr>
      <w:r>
        <w:rPr>
          <w:rFonts w:hint="eastAsia" w:ascii="宋体" w:cs="宋体"/>
          <w:color w:val="auto"/>
          <w:sz w:val="24"/>
          <w:highlight w:val="none"/>
        </w:rPr>
        <w:t>第二章：评标办法</w:t>
      </w:r>
    </w:p>
    <w:p w14:paraId="4E7E60F6">
      <w:pPr>
        <w:spacing w:line="440" w:lineRule="exact"/>
        <w:ind w:firstLine="480" w:firstLineChars="200"/>
        <w:rPr>
          <w:rFonts w:ascii="宋体" w:cs="宋体"/>
          <w:color w:val="auto"/>
          <w:sz w:val="24"/>
          <w:highlight w:val="none"/>
        </w:rPr>
      </w:pPr>
      <w:r>
        <w:rPr>
          <w:rFonts w:hint="eastAsia" w:ascii="宋体" w:cs="宋体"/>
          <w:color w:val="auto"/>
          <w:sz w:val="24"/>
          <w:highlight w:val="none"/>
        </w:rPr>
        <w:t>第三章：合同条款</w:t>
      </w:r>
    </w:p>
    <w:p w14:paraId="4E7E60F7">
      <w:pPr>
        <w:spacing w:line="440" w:lineRule="exact"/>
        <w:ind w:firstLine="480" w:firstLineChars="200"/>
        <w:rPr>
          <w:rFonts w:ascii="宋体" w:cs="宋体"/>
          <w:color w:val="auto"/>
          <w:sz w:val="24"/>
          <w:highlight w:val="none"/>
        </w:rPr>
      </w:pPr>
      <w:r>
        <w:rPr>
          <w:rFonts w:hint="eastAsia" w:ascii="宋体" w:cs="宋体"/>
          <w:color w:val="auto"/>
          <w:sz w:val="24"/>
          <w:highlight w:val="none"/>
        </w:rPr>
        <w:t>第四章：工程建设标准</w:t>
      </w:r>
    </w:p>
    <w:p w14:paraId="4E7E60F8">
      <w:pPr>
        <w:spacing w:line="440" w:lineRule="exact"/>
        <w:ind w:firstLine="480" w:firstLineChars="200"/>
        <w:rPr>
          <w:rFonts w:ascii="宋体" w:cs="宋体"/>
          <w:color w:val="auto"/>
          <w:sz w:val="24"/>
          <w:highlight w:val="none"/>
        </w:rPr>
      </w:pPr>
      <w:r>
        <w:rPr>
          <w:rFonts w:hint="eastAsia" w:ascii="宋体" w:cs="宋体"/>
          <w:color w:val="auto"/>
          <w:sz w:val="24"/>
          <w:highlight w:val="none"/>
        </w:rPr>
        <w:t>第五章：图纸、技术资料及附件</w:t>
      </w:r>
    </w:p>
    <w:p w14:paraId="4E7E60F9">
      <w:pPr>
        <w:spacing w:line="440" w:lineRule="exact"/>
        <w:ind w:firstLine="480" w:firstLineChars="200"/>
        <w:rPr>
          <w:rFonts w:ascii="宋体" w:cs="宋体"/>
          <w:color w:val="auto"/>
          <w:sz w:val="24"/>
          <w:highlight w:val="none"/>
        </w:rPr>
      </w:pPr>
      <w:r>
        <w:rPr>
          <w:rFonts w:hint="eastAsia" w:ascii="宋体" w:cs="宋体"/>
          <w:color w:val="auto"/>
          <w:sz w:val="24"/>
          <w:highlight w:val="none"/>
        </w:rPr>
        <w:t>第六章：投标文件格式</w:t>
      </w:r>
    </w:p>
    <w:p w14:paraId="4E7E60FA">
      <w:pPr>
        <w:spacing w:line="440" w:lineRule="exact"/>
        <w:ind w:firstLine="480" w:firstLineChars="200"/>
        <w:rPr>
          <w:rFonts w:ascii="宋体" w:cs="宋体"/>
          <w:color w:val="auto"/>
          <w:sz w:val="24"/>
          <w:highlight w:val="none"/>
        </w:rPr>
      </w:pPr>
      <w:r>
        <w:rPr>
          <w:rFonts w:hint="eastAsia" w:ascii="宋体" w:cs="宋体"/>
          <w:color w:val="auto"/>
          <w:sz w:val="24"/>
          <w:highlight w:val="none"/>
        </w:rPr>
        <w:t>第七章：资格审查证明材料</w:t>
      </w:r>
    </w:p>
    <w:p w14:paraId="4E7E60FB">
      <w:pPr>
        <w:spacing w:line="440" w:lineRule="exact"/>
        <w:ind w:firstLine="480" w:firstLineChars="200"/>
        <w:rPr>
          <w:rFonts w:ascii="宋体" w:cs="宋体"/>
          <w:color w:val="auto"/>
          <w:sz w:val="24"/>
          <w:highlight w:val="none"/>
        </w:rPr>
      </w:pPr>
      <w:r>
        <w:rPr>
          <w:rFonts w:hint="eastAsia" w:ascii="宋体" w:cs="宋体"/>
          <w:color w:val="auto"/>
          <w:sz w:val="24"/>
          <w:highlight w:val="none"/>
        </w:rPr>
        <w:t>5.2根据本章第6、7款对招标文件所作的澄清、修改，构成招标文件的组成部分。投标人在投标截止时间前，应通过</w:t>
      </w:r>
      <w:r>
        <w:rPr>
          <w:rFonts w:hint="eastAsia" w:ascii="宋体" w:cs="宋体"/>
          <w:color w:val="auto"/>
          <w:sz w:val="24"/>
          <w:highlight w:val="none"/>
          <w:u w:val="single"/>
        </w:rPr>
        <w:t>江苏商贸职业学院校园网</w:t>
      </w:r>
      <w:r>
        <w:rPr>
          <w:rFonts w:hint="eastAsia" w:ascii="宋体" w:cs="宋体"/>
          <w:color w:val="auto"/>
          <w:sz w:val="24"/>
          <w:highlight w:val="none"/>
        </w:rPr>
        <w:t>随时查阅有关该工程招标文件的澄清、招标文件的修改（招标答疑、补遗文件）、招标控制价公示等内容。投标人查阅如有遗漏，其风险应由投标人自行承担。</w:t>
      </w:r>
    </w:p>
    <w:p w14:paraId="4E7E60FC">
      <w:pPr>
        <w:autoSpaceDE w:val="0"/>
        <w:autoSpaceDN w:val="0"/>
        <w:adjustRightInd w:val="0"/>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6．招标文件的澄清</w:t>
      </w:r>
    </w:p>
    <w:p w14:paraId="4E7E60FD">
      <w:pPr>
        <w:spacing w:line="440" w:lineRule="exact"/>
        <w:ind w:firstLine="480" w:firstLineChars="200"/>
        <w:rPr>
          <w:rFonts w:ascii="宋体" w:cs="宋体"/>
          <w:color w:val="auto"/>
          <w:sz w:val="24"/>
          <w:highlight w:val="none"/>
        </w:rPr>
      </w:pPr>
      <w:r>
        <w:rPr>
          <w:rFonts w:hint="eastAsia" w:ascii="宋体" w:cs="宋体"/>
          <w:color w:val="auto"/>
          <w:sz w:val="24"/>
          <w:highlight w:val="none"/>
        </w:rPr>
        <w:t>6.1投标人从</w:t>
      </w:r>
      <w:r>
        <w:rPr>
          <w:rFonts w:hint="eastAsia" w:ascii="宋体" w:cs="宋体"/>
          <w:color w:val="auto"/>
          <w:sz w:val="24"/>
          <w:highlight w:val="none"/>
          <w:u w:val="single"/>
        </w:rPr>
        <w:t>江苏商贸职业学院校园网</w:t>
      </w:r>
      <w:r>
        <w:rPr>
          <w:rFonts w:hint="eastAsia" w:ascii="宋体" w:cs="宋体"/>
          <w:color w:val="auto"/>
          <w:sz w:val="24"/>
          <w:highlight w:val="none"/>
        </w:rPr>
        <w:t>下载招标文件后应仔细阅读和检查招标文件的全部内容，如发现缺页或附件不全，应及时向招标人提出，以便补齐。</w:t>
      </w:r>
    </w:p>
    <w:p w14:paraId="4E7E60FE">
      <w:pPr>
        <w:spacing w:line="440" w:lineRule="exact"/>
        <w:ind w:firstLine="480" w:firstLineChars="200"/>
        <w:rPr>
          <w:rFonts w:ascii="宋体" w:cs="宋体"/>
          <w:color w:val="auto"/>
          <w:sz w:val="24"/>
          <w:highlight w:val="none"/>
        </w:rPr>
      </w:pPr>
      <w:r>
        <w:rPr>
          <w:rFonts w:hint="eastAsia" w:ascii="宋体" w:cs="宋体"/>
          <w:color w:val="auto"/>
          <w:sz w:val="24"/>
          <w:highlight w:val="none"/>
        </w:rPr>
        <w:t>6.2招标人不组织集中答疑，投标人如对招标公告、招标文件、招标控制价等文件存在前后矛盾，部分条款说明不清、存在歧义、违反相关法律法规，存在限制性条款等有疑问的应在</w:t>
      </w:r>
      <w:r>
        <w:rPr>
          <w:rFonts w:hint="eastAsia" w:ascii="宋体" w:cs="宋体"/>
          <w:color w:val="auto"/>
          <w:sz w:val="24"/>
          <w:highlight w:val="none"/>
          <w:u w:val="single"/>
        </w:rPr>
        <w:t>投标人须知</w:t>
      </w:r>
      <w:r>
        <w:rPr>
          <w:rStyle w:val="41"/>
          <w:rFonts w:hint="eastAsia" w:ascii="宋体" w:cs="宋体"/>
          <w:bCs/>
          <w:color w:val="auto"/>
          <w:sz w:val="24"/>
          <w:highlight w:val="none"/>
        </w:rPr>
        <w:t>前附表规定的时间内</w:t>
      </w:r>
      <w:r>
        <w:rPr>
          <w:rFonts w:hint="eastAsia" w:ascii="宋体" w:cs="宋体"/>
          <w:color w:val="auto"/>
          <w:sz w:val="24"/>
          <w:highlight w:val="none"/>
        </w:rPr>
        <w:t>向招标人提出澄清要求，</w:t>
      </w:r>
      <w:r>
        <w:rPr>
          <w:color w:val="auto"/>
          <w:highlight w:val="none"/>
        </w:rPr>
        <w:fldChar w:fldCharType="begin"/>
      </w:r>
      <w:r>
        <w:rPr>
          <w:color w:val="auto"/>
          <w:highlight w:val="none"/>
        </w:rPr>
        <w:instrText xml:space="preserve"> HYPERLINK "mailto:以电子文件形式发送至550362779@qq.com" </w:instrText>
      </w:r>
      <w:r>
        <w:rPr>
          <w:color w:val="auto"/>
          <w:highlight w:val="none"/>
        </w:rPr>
        <w:fldChar w:fldCharType="separate"/>
      </w:r>
      <w:r>
        <w:rPr>
          <w:rFonts w:hint="eastAsia" w:ascii="宋体" w:cs="宋体"/>
          <w:color w:val="auto"/>
          <w:sz w:val="24"/>
          <w:highlight w:val="none"/>
        </w:rPr>
        <w:t>以电子文件形式发送至</w:t>
      </w:r>
      <w:r>
        <w:rPr>
          <w:rFonts w:hint="eastAsia" w:ascii="宋体" w:cs="宋体"/>
          <w:color w:val="auto"/>
          <w:sz w:val="24"/>
          <w:highlight w:val="none"/>
        </w:rPr>
        <w:fldChar w:fldCharType="end"/>
      </w:r>
      <w:r>
        <w:rPr>
          <w:rFonts w:hint="eastAsia" w:ascii="宋体" w:cs="宋体"/>
          <w:color w:val="auto"/>
          <w:sz w:val="24"/>
          <w:highlight w:val="none"/>
        </w:rPr>
        <w:t>指定邮箱：458101863</w:t>
      </w:r>
      <w:r>
        <w:rPr>
          <w:rFonts w:ascii="宋体" w:cs="宋体"/>
          <w:color w:val="auto"/>
          <w:sz w:val="24"/>
          <w:highlight w:val="none"/>
          <w:u w:val="single"/>
        </w:rPr>
        <w:t>@qq.com</w:t>
      </w:r>
      <w:r>
        <w:rPr>
          <w:rFonts w:hint="eastAsia" w:ascii="宋体" w:cs="宋体"/>
          <w:color w:val="auto"/>
          <w:sz w:val="24"/>
          <w:highlight w:val="none"/>
        </w:rPr>
        <w:t>（不具单位名称，不加盖单位公章）。招标人在收到疑问材料后于</w:t>
      </w:r>
      <w:r>
        <w:rPr>
          <w:rStyle w:val="41"/>
          <w:rFonts w:hint="eastAsia" w:ascii="宋体" w:cs="宋体"/>
          <w:bCs/>
          <w:color w:val="auto"/>
          <w:sz w:val="24"/>
          <w:highlight w:val="none"/>
        </w:rPr>
        <w:t>投标人须知前附表规定的时间前</w:t>
      </w:r>
      <w:r>
        <w:rPr>
          <w:rFonts w:hint="eastAsia" w:ascii="宋体" w:cs="宋体"/>
          <w:color w:val="auto"/>
          <w:sz w:val="24"/>
          <w:highlight w:val="none"/>
        </w:rPr>
        <w:t>将解答内容（若有）以电子文档上传至</w:t>
      </w:r>
      <w:r>
        <w:rPr>
          <w:rFonts w:hint="eastAsia" w:ascii="宋体" w:cs="宋体"/>
          <w:color w:val="auto"/>
          <w:sz w:val="24"/>
          <w:highlight w:val="none"/>
          <w:u w:val="single"/>
        </w:rPr>
        <w:t>江苏商贸职业学院校园网</w:t>
      </w:r>
      <w:r>
        <w:rPr>
          <w:rFonts w:hint="eastAsia" w:ascii="宋体" w:cs="宋体"/>
          <w:color w:val="auto"/>
          <w:sz w:val="24"/>
          <w:highlight w:val="none"/>
        </w:rPr>
        <w:t>，请各潜在投标人在</w:t>
      </w:r>
      <w:r>
        <w:rPr>
          <w:rFonts w:hint="eastAsia" w:ascii="宋体" w:cs="宋体"/>
          <w:color w:val="auto"/>
          <w:sz w:val="24"/>
          <w:highlight w:val="none"/>
          <w:u w:val="single"/>
        </w:rPr>
        <w:t>江苏商贸职业学院校园网</w:t>
      </w:r>
      <w:r>
        <w:rPr>
          <w:rFonts w:hint="eastAsia" w:ascii="宋体" w:cs="宋体"/>
          <w:color w:val="auto"/>
          <w:sz w:val="24"/>
          <w:highlight w:val="none"/>
        </w:rPr>
        <w:t>自行下载。</w:t>
      </w:r>
    </w:p>
    <w:p w14:paraId="4E7E60FF">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在开标截止时间前，投标人未以书面、电子文件形式提出疑问（质疑）的，视为投标人接受招标公告、招标文件所注全部条款。开标后投标人再对招标公告、招标文件等提出质疑或投诉的，招标人有理由不予受理，由此引起的损失由投标人自行承担。</w:t>
      </w:r>
    </w:p>
    <w:p w14:paraId="4E7E6100">
      <w:pPr>
        <w:spacing w:line="440" w:lineRule="exact"/>
        <w:ind w:firstLine="480" w:firstLineChars="200"/>
        <w:rPr>
          <w:rFonts w:ascii="宋体" w:cs="宋体"/>
          <w:color w:val="auto"/>
          <w:sz w:val="24"/>
          <w:highlight w:val="none"/>
        </w:rPr>
      </w:pPr>
      <w:r>
        <w:rPr>
          <w:rFonts w:hint="eastAsia" w:ascii="宋体" w:cs="宋体"/>
          <w:color w:val="auto"/>
          <w:sz w:val="24"/>
          <w:highlight w:val="none"/>
        </w:rPr>
        <w:t>6.3招标文件的澄清答疑将在投标人须知前附表规定的时间前，在</w:t>
      </w:r>
      <w:r>
        <w:rPr>
          <w:rFonts w:hint="eastAsia" w:ascii="宋体" w:cs="宋体"/>
          <w:color w:val="auto"/>
          <w:sz w:val="24"/>
          <w:highlight w:val="none"/>
          <w:u w:val="single"/>
        </w:rPr>
        <w:t>江苏商贸职业学院校园网</w:t>
      </w:r>
      <w:r>
        <w:rPr>
          <w:rFonts w:hint="eastAsia" w:ascii="宋体" w:cs="宋体"/>
          <w:color w:val="auto"/>
          <w:sz w:val="24"/>
          <w:highlight w:val="none"/>
        </w:rPr>
        <w:t>向所有投标人公示。</w:t>
      </w:r>
    </w:p>
    <w:p w14:paraId="4E7E6101">
      <w:pPr>
        <w:spacing w:line="440" w:lineRule="exact"/>
        <w:ind w:firstLine="480" w:firstLineChars="200"/>
        <w:rPr>
          <w:rFonts w:ascii="宋体" w:cs="宋体"/>
          <w:color w:val="auto"/>
          <w:sz w:val="24"/>
          <w:highlight w:val="none"/>
        </w:rPr>
      </w:pPr>
      <w:r>
        <w:rPr>
          <w:rFonts w:hint="eastAsia" w:ascii="宋体" w:cs="宋体"/>
          <w:color w:val="auto"/>
          <w:sz w:val="24"/>
          <w:highlight w:val="none"/>
        </w:rPr>
        <w:t>投标人对招标人提供的招标文件所做出的推论、解释和结论，招标人概不负责。投标人由于对招标文件的任何推论和误解均由投标人自负。</w:t>
      </w:r>
    </w:p>
    <w:p w14:paraId="4E7E6102">
      <w:pPr>
        <w:spacing w:line="440" w:lineRule="exact"/>
        <w:ind w:firstLine="480" w:firstLineChars="200"/>
        <w:rPr>
          <w:rFonts w:ascii="宋体" w:cs="宋体"/>
          <w:color w:val="auto"/>
          <w:sz w:val="24"/>
          <w:highlight w:val="none"/>
        </w:rPr>
      </w:pPr>
      <w:r>
        <w:rPr>
          <w:rFonts w:hint="eastAsia" w:ascii="宋体" w:cs="宋体"/>
          <w:color w:val="auto"/>
          <w:sz w:val="24"/>
          <w:highlight w:val="none"/>
        </w:rPr>
        <w:t>在投标截止时间3天前，招标人可以修改招标文件，并以书面形式在</w:t>
      </w:r>
      <w:r>
        <w:rPr>
          <w:rFonts w:hint="eastAsia" w:ascii="宋体" w:cs="宋体"/>
          <w:color w:val="auto"/>
          <w:sz w:val="24"/>
          <w:highlight w:val="none"/>
          <w:u w:val="single"/>
        </w:rPr>
        <w:t>江苏商贸职业学院校园网</w:t>
      </w:r>
      <w:r>
        <w:rPr>
          <w:rFonts w:hint="eastAsia" w:ascii="宋体" w:cs="宋体"/>
          <w:color w:val="auto"/>
          <w:sz w:val="24"/>
          <w:highlight w:val="none"/>
        </w:rPr>
        <w:t>发布。</w:t>
      </w:r>
    </w:p>
    <w:p w14:paraId="4E7E6103">
      <w:pPr>
        <w:autoSpaceDE w:val="0"/>
        <w:autoSpaceDN w:val="0"/>
        <w:adjustRightInd w:val="0"/>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7、招标文件的修改</w:t>
      </w:r>
    </w:p>
    <w:p w14:paraId="4E7E6104">
      <w:pPr>
        <w:spacing w:line="440" w:lineRule="exact"/>
        <w:ind w:firstLine="480" w:firstLineChars="200"/>
        <w:rPr>
          <w:rFonts w:ascii="宋体" w:cs="宋体"/>
          <w:color w:val="auto"/>
          <w:sz w:val="24"/>
          <w:highlight w:val="none"/>
        </w:rPr>
      </w:pPr>
      <w:r>
        <w:rPr>
          <w:rFonts w:hint="eastAsia" w:ascii="宋体" w:cs="宋体"/>
          <w:color w:val="auto"/>
          <w:sz w:val="24"/>
          <w:highlight w:val="none"/>
        </w:rPr>
        <w:t>7.1招标文件发布后，在投标截止期前，确需对招标文件进行修改的，招标人以招标文件澄清、答疑方式，经</w:t>
      </w:r>
      <w:r>
        <w:rPr>
          <w:rFonts w:hint="eastAsia" w:ascii="宋体" w:cs="宋体"/>
          <w:color w:val="auto"/>
          <w:sz w:val="24"/>
          <w:highlight w:val="none"/>
          <w:u w:val="single"/>
        </w:rPr>
        <w:t>江苏商贸职业学院校园网</w:t>
      </w:r>
      <w:r>
        <w:rPr>
          <w:rFonts w:hint="eastAsia" w:ascii="宋体" w:cs="宋体"/>
          <w:color w:val="auto"/>
          <w:sz w:val="24"/>
          <w:highlight w:val="none"/>
        </w:rPr>
        <w:t>向所有投标人公示。</w:t>
      </w:r>
    </w:p>
    <w:p w14:paraId="4E7E6105">
      <w:pPr>
        <w:spacing w:line="440" w:lineRule="exact"/>
        <w:ind w:firstLine="480" w:firstLineChars="200"/>
        <w:rPr>
          <w:rFonts w:ascii="宋体" w:cs="宋体"/>
          <w:color w:val="auto"/>
          <w:sz w:val="24"/>
          <w:highlight w:val="none"/>
        </w:rPr>
      </w:pPr>
      <w:r>
        <w:rPr>
          <w:rFonts w:hint="eastAsia" w:ascii="宋体" w:cs="宋体"/>
          <w:color w:val="auto"/>
          <w:sz w:val="24"/>
          <w:highlight w:val="none"/>
        </w:rPr>
        <w:t>7.2招标人在投标截止期前对招标文件的所作澄清、答疑、修改作为招标文件的组成部分，对招标人、投标人均具有约束力。</w:t>
      </w:r>
    </w:p>
    <w:p w14:paraId="4E7E6106">
      <w:pPr>
        <w:spacing w:line="440" w:lineRule="exact"/>
        <w:ind w:firstLine="480" w:firstLineChars="200"/>
        <w:rPr>
          <w:rFonts w:ascii="宋体" w:cs="宋体"/>
          <w:color w:val="auto"/>
          <w:sz w:val="24"/>
          <w:highlight w:val="none"/>
        </w:rPr>
      </w:pPr>
      <w:r>
        <w:rPr>
          <w:rFonts w:hint="eastAsia" w:ascii="宋体" w:cs="宋体"/>
          <w:color w:val="auto"/>
          <w:sz w:val="24"/>
          <w:highlight w:val="none"/>
        </w:rPr>
        <w:t>7.3本工程采用电子答疑，招标人对招标文件的所作澄清、答疑、修改均以</w:t>
      </w:r>
      <w:r>
        <w:rPr>
          <w:rFonts w:hint="eastAsia" w:ascii="宋体" w:cs="宋体"/>
          <w:color w:val="auto"/>
          <w:sz w:val="24"/>
          <w:highlight w:val="none"/>
          <w:u w:val="single"/>
        </w:rPr>
        <w:t>江苏商贸职业学院校园网</w:t>
      </w:r>
      <w:r>
        <w:rPr>
          <w:rFonts w:hint="eastAsia" w:ascii="宋体" w:cs="宋体"/>
          <w:color w:val="auto"/>
          <w:sz w:val="24"/>
          <w:highlight w:val="none"/>
        </w:rPr>
        <w:t>上公布的内容为准。招标文件的答疑内容前后期相互矛盾时，以公示时间在后的文件为准。投标人因自身原因未能及时掌握上述网上公示信息，由此造成投标损失自负。</w:t>
      </w:r>
    </w:p>
    <w:p w14:paraId="4E7E6107">
      <w:pPr>
        <w:jc w:val="center"/>
        <w:rPr>
          <w:rFonts w:ascii="宋体" w:cs="宋体"/>
          <w:b/>
          <w:bCs/>
          <w:color w:val="auto"/>
          <w:sz w:val="28"/>
          <w:szCs w:val="28"/>
          <w:highlight w:val="none"/>
        </w:rPr>
      </w:pPr>
    </w:p>
    <w:p w14:paraId="4E7E6108">
      <w:pPr>
        <w:jc w:val="center"/>
        <w:rPr>
          <w:rFonts w:ascii="宋体" w:cs="宋体"/>
          <w:b/>
          <w:bCs/>
          <w:color w:val="auto"/>
          <w:sz w:val="28"/>
          <w:szCs w:val="28"/>
          <w:highlight w:val="none"/>
        </w:rPr>
      </w:pPr>
      <w:r>
        <w:rPr>
          <w:rFonts w:hint="eastAsia" w:ascii="宋体" w:cs="宋体"/>
          <w:b/>
          <w:bCs/>
          <w:color w:val="auto"/>
          <w:sz w:val="28"/>
          <w:szCs w:val="28"/>
          <w:highlight w:val="none"/>
        </w:rPr>
        <w:t>（三）投标文件</w:t>
      </w:r>
    </w:p>
    <w:p w14:paraId="4E7E6109">
      <w:pPr>
        <w:spacing w:line="440" w:lineRule="exact"/>
        <w:ind w:firstLine="482" w:firstLineChars="200"/>
        <w:rPr>
          <w:rFonts w:ascii="宋体" w:cs="宋体"/>
          <w:color w:val="auto"/>
          <w:sz w:val="24"/>
          <w:highlight w:val="none"/>
        </w:rPr>
      </w:pPr>
      <w:r>
        <w:rPr>
          <w:rFonts w:hint="eastAsia" w:ascii="宋体" w:cs="宋体"/>
          <w:b/>
          <w:color w:val="auto"/>
          <w:kern w:val="0"/>
          <w:sz w:val="24"/>
          <w:highlight w:val="none"/>
        </w:rPr>
        <w:t xml:space="preserve">8. </w:t>
      </w:r>
      <w:r>
        <w:rPr>
          <w:rFonts w:hint="eastAsia" w:ascii="宋体" w:cs="宋体"/>
          <w:color w:val="auto"/>
          <w:sz w:val="24"/>
          <w:highlight w:val="none"/>
        </w:rPr>
        <w:t>投标人应认真阅读招标文件所有内容，未按招标文件要求编制的投标文件将被拒绝或者作为废标处理。</w:t>
      </w:r>
    </w:p>
    <w:p w14:paraId="4E7E610A">
      <w:pPr>
        <w:spacing w:line="440" w:lineRule="exact"/>
        <w:ind w:firstLine="482" w:firstLineChars="200"/>
        <w:rPr>
          <w:rFonts w:ascii="宋体" w:cs="宋体"/>
          <w:color w:val="auto"/>
          <w:sz w:val="24"/>
          <w:highlight w:val="none"/>
        </w:rPr>
      </w:pPr>
      <w:r>
        <w:rPr>
          <w:rFonts w:hint="eastAsia" w:ascii="宋体" w:cs="宋体"/>
          <w:b/>
          <w:color w:val="auto"/>
          <w:kern w:val="0"/>
          <w:sz w:val="24"/>
          <w:highlight w:val="none"/>
        </w:rPr>
        <w:t xml:space="preserve">9. </w:t>
      </w:r>
      <w:r>
        <w:rPr>
          <w:rFonts w:hint="eastAsia" w:ascii="宋体" w:cs="宋体"/>
          <w:color w:val="auto"/>
          <w:sz w:val="24"/>
          <w:highlight w:val="none"/>
        </w:rPr>
        <w:t>本工程投标文件由</w:t>
      </w:r>
      <w:r>
        <w:rPr>
          <w:rFonts w:hint="eastAsia" w:ascii="宋体" w:cs="宋体"/>
          <w:b/>
          <w:color w:val="auto"/>
          <w:sz w:val="24"/>
          <w:highlight w:val="none"/>
          <w:u w:val="single"/>
        </w:rPr>
        <w:t>资格审查资料包、商务标</w:t>
      </w:r>
      <w:r>
        <w:rPr>
          <w:rFonts w:hint="eastAsia" w:ascii="宋体" w:cs="宋体"/>
          <w:b/>
          <w:color w:val="auto"/>
          <w:sz w:val="24"/>
          <w:highlight w:val="none"/>
        </w:rPr>
        <w:t>二</w:t>
      </w:r>
      <w:r>
        <w:rPr>
          <w:rFonts w:hint="eastAsia" w:ascii="宋体" w:cs="宋体"/>
          <w:color w:val="auto"/>
          <w:sz w:val="24"/>
          <w:highlight w:val="none"/>
        </w:rPr>
        <w:t>部分组成，具体应包括以下内容：</w:t>
      </w:r>
    </w:p>
    <w:p w14:paraId="4E7E610B">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9.1资格审查资料包括内容：</w:t>
      </w:r>
    </w:p>
    <w:p w14:paraId="4E7E610C">
      <w:pPr>
        <w:spacing w:line="440" w:lineRule="exact"/>
        <w:ind w:firstLine="480" w:firstLineChars="200"/>
        <w:rPr>
          <w:rFonts w:ascii="宋体" w:cs="宋体"/>
          <w:color w:val="auto"/>
          <w:sz w:val="24"/>
          <w:highlight w:val="none"/>
        </w:rPr>
      </w:pPr>
      <w:r>
        <w:rPr>
          <w:rFonts w:hint="eastAsia" w:ascii="宋体" w:cs="宋体"/>
          <w:color w:val="auto"/>
          <w:sz w:val="24"/>
          <w:highlight w:val="none"/>
        </w:rPr>
        <w:t>（1）法定代表人身份证明书（格式见第七章）；</w:t>
      </w:r>
    </w:p>
    <w:p w14:paraId="4E7E610D">
      <w:pPr>
        <w:tabs>
          <w:tab w:val="left" w:pos="7850"/>
        </w:tabs>
        <w:spacing w:line="440" w:lineRule="exact"/>
        <w:ind w:firstLine="480" w:firstLineChars="200"/>
        <w:rPr>
          <w:rFonts w:ascii="宋体" w:cs="宋体"/>
          <w:color w:val="auto"/>
          <w:sz w:val="24"/>
          <w:highlight w:val="none"/>
        </w:rPr>
      </w:pPr>
      <w:r>
        <w:rPr>
          <w:rFonts w:hint="eastAsia" w:ascii="宋体" w:cs="宋体"/>
          <w:color w:val="auto"/>
          <w:sz w:val="24"/>
          <w:highlight w:val="none"/>
        </w:rPr>
        <w:t>（2）授权委托书（如有授权）（格式见第七章）；</w:t>
      </w:r>
    </w:p>
    <w:p w14:paraId="4E7E610E">
      <w:pPr>
        <w:spacing w:line="440" w:lineRule="exact"/>
        <w:ind w:firstLine="480" w:firstLineChars="200"/>
        <w:rPr>
          <w:rFonts w:ascii="宋体" w:cs="宋体"/>
          <w:color w:val="auto"/>
          <w:sz w:val="24"/>
          <w:highlight w:val="none"/>
        </w:rPr>
      </w:pPr>
      <w:r>
        <w:rPr>
          <w:rFonts w:hint="eastAsia" w:ascii="宋体" w:cs="宋体"/>
          <w:color w:val="auto"/>
          <w:sz w:val="24"/>
          <w:highlight w:val="none"/>
        </w:rPr>
        <w:t>（3）有效的企业法人营业执照（副本）复印件；</w:t>
      </w:r>
    </w:p>
    <w:p w14:paraId="4E7E610F">
      <w:pPr>
        <w:spacing w:line="440" w:lineRule="exact"/>
        <w:ind w:firstLine="480" w:firstLineChars="200"/>
        <w:rPr>
          <w:rFonts w:ascii="宋体" w:cs="宋体"/>
          <w:color w:val="auto"/>
          <w:sz w:val="24"/>
          <w:highlight w:val="none"/>
        </w:rPr>
      </w:pPr>
      <w:r>
        <w:rPr>
          <w:rFonts w:hint="eastAsia" w:ascii="宋体" w:cs="宋体"/>
          <w:color w:val="auto"/>
          <w:sz w:val="24"/>
          <w:highlight w:val="none"/>
        </w:rPr>
        <w:t>（4）有效企业资质证书复印件；</w:t>
      </w:r>
    </w:p>
    <w:p w14:paraId="4E7E6110">
      <w:pPr>
        <w:spacing w:line="440" w:lineRule="exact"/>
        <w:ind w:firstLine="480" w:firstLineChars="200"/>
        <w:rPr>
          <w:rFonts w:ascii="宋体" w:cs="宋体"/>
          <w:color w:val="auto"/>
          <w:sz w:val="24"/>
          <w:highlight w:val="none"/>
        </w:rPr>
      </w:pPr>
      <w:r>
        <w:rPr>
          <w:rFonts w:hint="eastAsia" w:ascii="宋体" w:cs="宋体"/>
          <w:color w:val="auto"/>
          <w:sz w:val="24"/>
          <w:highlight w:val="none"/>
        </w:rPr>
        <w:t>（5）有效的企业安全生产许可证复印件；</w:t>
      </w:r>
    </w:p>
    <w:p w14:paraId="4E7E6111">
      <w:pPr>
        <w:spacing w:line="440" w:lineRule="exact"/>
        <w:ind w:firstLine="480" w:firstLineChars="200"/>
        <w:rPr>
          <w:rFonts w:ascii="宋体" w:cs="宋体"/>
          <w:color w:val="auto"/>
          <w:sz w:val="24"/>
          <w:highlight w:val="none"/>
        </w:rPr>
      </w:pPr>
      <w:r>
        <w:rPr>
          <w:rFonts w:hint="eastAsia" w:ascii="宋体" w:cs="宋体"/>
          <w:color w:val="auto"/>
          <w:sz w:val="24"/>
          <w:highlight w:val="none"/>
        </w:rPr>
        <w:t>（6）拟派项目负责人有效的注册证书及安全考核合格证书（B证）复印件；</w:t>
      </w:r>
    </w:p>
    <w:p w14:paraId="4E7E6112">
      <w:pPr>
        <w:spacing w:line="440" w:lineRule="exact"/>
        <w:ind w:firstLine="480" w:firstLineChars="200"/>
        <w:rPr>
          <w:rFonts w:ascii="宋体" w:cs="宋体"/>
          <w:color w:val="auto"/>
          <w:sz w:val="24"/>
          <w:highlight w:val="none"/>
        </w:rPr>
      </w:pPr>
      <w:r>
        <w:rPr>
          <w:rFonts w:hint="eastAsia" w:ascii="宋体" w:cs="宋体"/>
          <w:color w:val="auto"/>
          <w:sz w:val="24"/>
          <w:highlight w:val="none"/>
        </w:rPr>
        <w:t>（7）无不良记录承诺书（格式见第七章）；</w:t>
      </w:r>
    </w:p>
    <w:p w14:paraId="4E7E6113">
      <w:pPr>
        <w:spacing w:line="440" w:lineRule="exact"/>
        <w:ind w:firstLine="480" w:firstLineChars="200"/>
        <w:rPr>
          <w:rFonts w:ascii="宋体" w:cs="宋体"/>
          <w:bCs/>
          <w:color w:val="auto"/>
          <w:sz w:val="24"/>
          <w:highlight w:val="none"/>
        </w:rPr>
      </w:pPr>
      <w:r>
        <w:rPr>
          <w:rFonts w:hint="eastAsia" w:ascii="宋体" w:cs="宋体"/>
          <w:color w:val="auto"/>
          <w:sz w:val="24"/>
          <w:highlight w:val="none"/>
        </w:rPr>
        <w:t>（8）</w:t>
      </w:r>
      <w:r>
        <w:rPr>
          <w:rFonts w:hint="eastAsia" w:ascii="宋体" w:cs="宋体"/>
          <w:bCs/>
          <w:color w:val="auto"/>
          <w:sz w:val="24"/>
          <w:highlight w:val="none"/>
        </w:rPr>
        <w:t>拟派项目负责人及授权委托人均为投标企业正式人员证明材料复印件（提供①与投标人签订的有效劳动合同复印件；②社保机构出具并盖章的投标人为其缴纳近六个月任意一个月的养老保险缴费清单复印件）；</w:t>
      </w:r>
    </w:p>
    <w:p w14:paraId="4E7E6114">
      <w:pPr>
        <w:spacing w:line="440" w:lineRule="exact"/>
        <w:ind w:firstLine="480" w:firstLineChars="200"/>
        <w:rPr>
          <w:rFonts w:ascii="宋体" w:cs="宋体"/>
          <w:color w:val="auto"/>
          <w:sz w:val="24"/>
          <w:highlight w:val="none"/>
        </w:rPr>
      </w:pPr>
      <w:r>
        <w:rPr>
          <w:rFonts w:hint="eastAsia" w:ascii="宋体" w:cs="宋体"/>
          <w:color w:val="auto"/>
          <w:sz w:val="24"/>
          <w:highlight w:val="none"/>
        </w:rPr>
        <w:t>（9）类似业绩证明材料，施工合同复印件；</w:t>
      </w:r>
    </w:p>
    <w:p w14:paraId="64211415">
      <w:pPr>
        <w:spacing w:line="440" w:lineRule="exact"/>
        <w:ind w:firstLine="480" w:firstLineChars="200"/>
        <w:rPr>
          <w:rFonts w:hint="eastAsia" w:ascii="宋体" w:eastAsia="宋体" w:cs="宋体"/>
          <w:color w:val="auto"/>
          <w:sz w:val="24"/>
          <w:highlight w:val="none"/>
          <w:lang w:eastAsia="zh-CN"/>
        </w:rPr>
      </w:pPr>
      <w:r>
        <w:rPr>
          <w:rFonts w:hint="eastAsia" w:ascii="宋体" w:cs="宋体"/>
          <w:color w:val="auto"/>
          <w:sz w:val="24"/>
          <w:highlight w:val="none"/>
        </w:rPr>
        <w:t>（10）</w:t>
      </w:r>
      <w:r>
        <w:rPr>
          <w:rFonts w:hint="eastAsia" w:ascii="宋体" w:cs="宋体"/>
          <w:kern w:val="0"/>
          <w:sz w:val="24"/>
        </w:rPr>
        <w:t>投标人承诺函</w:t>
      </w:r>
      <w:r>
        <w:rPr>
          <w:rFonts w:hint="eastAsia" w:ascii="宋体" w:cs="宋体"/>
          <w:color w:val="auto"/>
          <w:sz w:val="24"/>
          <w:highlight w:val="none"/>
        </w:rPr>
        <w:t>（格式见第七章）</w:t>
      </w:r>
      <w:r>
        <w:rPr>
          <w:rFonts w:hint="eastAsia" w:ascii="宋体" w:cs="宋体"/>
          <w:color w:val="auto"/>
          <w:sz w:val="24"/>
          <w:highlight w:val="none"/>
          <w:lang w:eastAsia="zh-CN"/>
        </w:rPr>
        <w:t>；</w:t>
      </w:r>
    </w:p>
    <w:p w14:paraId="4E7E6115">
      <w:pPr>
        <w:spacing w:line="440" w:lineRule="exact"/>
        <w:ind w:firstLine="480" w:firstLineChars="200"/>
        <w:rPr>
          <w:rFonts w:ascii="宋体" w:cs="宋体"/>
          <w:color w:val="auto"/>
          <w:sz w:val="24"/>
          <w:highlight w:val="none"/>
        </w:rPr>
      </w:pPr>
      <w:r>
        <w:rPr>
          <w:rFonts w:hint="eastAsia" w:ascii="宋体" w:cs="宋体"/>
          <w:color w:val="auto"/>
          <w:sz w:val="24"/>
          <w:highlight w:val="none"/>
          <w:lang w:eastAsia="zh-CN"/>
        </w:rPr>
        <w:t>（</w:t>
      </w:r>
      <w:r>
        <w:rPr>
          <w:rFonts w:hint="eastAsia" w:ascii="宋体" w:cs="宋体"/>
          <w:color w:val="auto"/>
          <w:sz w:val="24"/>
          <w:highlight w:val="none"/>
          <w:lang w:val="en-US" w:eastAsia="zh-CN"/>
        </w:rPr>
        <w:t>11</w:t>
      </w:r>
      <w:r>
        <w:rPr>
          <w:rFonts w:hint="eastAsia" w:ascii="宋体" w:cs="宋体"/>
          <w:color w:val="auto"/>
          <w:sz w:val="24"/>
          <w:highlight w:val="none"/>
          <w:lang w:eastAsia="zh-CN"/>
        </w:rPr>
        <w:t>）</w:t>
      </w:r>
      <w:r>
        <w:rPr>
          <w:rFonts w:hint="eastAsia" w:ascii="宋体" w:cs="宋体"/>
          <w:color w:val="auto"/>
          <w:sz w:val="24"/>
          <w:highlight w:val="none"/>
        </w:rPr>
        <w:t>远程开标承诺书（格式见第七章）。</w:t>
      </w:r>
    </w:p>
    <w:p w14:paraId="4E7E6116">
      <w:pPr>
        <w:spacing w:line="440" w:lineRule="exact"/>
        <w:ind w:firstLine="482" w:firstLineChars="200"/>
        <w:rPr>
          <w:rFonts w:ascii="宋体" w:cs="宋体"/>
          <w:b/>
          <w:color w:val="auto"/>
          <w:sz w:val="24"/>
          <w:highlight w:val="none"/>
        </w:rPr>
      </w:pPr>
      <w:r>
        <w:rPr>
          <w:rFonts w:hint="eastAsia" w:ascii="宋体" w:cs="宋体"/>
          <w:b/>
          <w:color w:val="auto"/>
          <w:sz w:val="24"/>
          <w:highlight w:val="none"/>
          <w:u w:val="single"/>
        </w:rPr>
        <w:t>未尽之处具体详见第二章“评标办法”中的“资格审查标准汇总表”。</w:t>
      </w:r>
      <w:r>
        <w:rPr>
          <w:rFonts w:hint="eastAsia" w:ascii="宋体" w:cs="宋体"/>
          <w:b/>
          <w:color w:val="auto"/>
          <w:sz w:val="24"/>
          <w:highlight w:val="none"/>
        </w:rPr>
        <w:t xml:space="preserve"> 提供的资格审查材料及审查标准，前后矛盾的以《资格审查标准汇总表》为准。</w:t>
      </w:r>
    </w:p>
    <w:p w14:paraId="4E7E6117">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9.2商务标</w:t>
      </w:r>
    </w:p>
    <w:p w14:paraId="4E7E6118">
      <w:pPr>
        <w:spacing w:line="440" w:lineRule="exact"/>
        <w:ind w:firstLine="480" w:firstLineChars="200"/>
        <w:rPr>
          <w:rFonts w:ascii="宋体" w:cs="宋体"/>
          <w:bCs/>
          <w:color w:val="auto"/>
          <w:sz w:val="24"/>
          <w:highlight w:val="none"/>
        </w:rPr>
      </w:pPr>
      <w:r>
        <w:rPr>
          <w:rFonts w:hint="eastAsia" w:ascii="宋体" w:cs="宋体"/>
          <w:bCs/>
          <w:color w:val="auto"/>
          <w:sz w:val="24"/>
          <w:highlight w:val="none"/>
        </w:rPr>
        <w:t>（1）投标函；</w:t>
      </w:r>
    </w:p>
    <w:p w14:paraId="4E7E6119">
      <w:pPr>
        <w:spacing w:line="440" w:lineRule="exact"/>
        <w:ind w:firstLine="480" w:firstLineChars="200"/>
        <w:rPr>
          <w:rFonts w:ascii="宋体" w:cs="宋体"/>
          <w:bCs/>
          <w:color w:val="auto"/>
          <w:sz w:val="24"/>
          <w:highlight w:val="none"/>
        </w:rPr>
      </w:pPr>
      <w:r>
        <w:rPr>
          <w:rFonts w:hint="eastAsia" w:ascii="宋体" w:cs="宋体"/>
          <w:bCs/>
          <w:color w:val="auto"/>
          <w:sz w:val="24"/>
          <w:highlight w:val="none"/>
        </w:rPr>
        <w:t>（2）计划投入的主要施工机械设备表、主要施工管理人员表。</w:t>
      </w:r>
    </w:p>
    <w:p w14:paraId="4E7E611A">
      <w:pPr>
        <w:spacing w:line="440" w:lineRule="exact"/>
        <w:ind w:firstLine="482" w:firstLineChars="200"/>
        <w:rPr>
          <w:rFonts w:ascii="宋体" w:cs="宋体"/>
          <w:color w:val="auto"/>
          <w:sz w:val="24"/>
          <w:highlight w:val="none"/>
        </w:rPr>
      </w:pPr>
      <w:r>
        <w:rPr>
          <w:rFonts w:hint="eastAsia" w:ascii="宋体" w:cs="宋体"/>
          <w:b/>
          <w:color w:val="auto"/>
          <w:kern w:val="0"/>
          <w:sz w:val="24"/>
          <w:highlight w:val="none"/>
        </w:rPr>
        <w:t>10.</w:t>
      </w:r>
      <w:r>
        <w:rPr>
          <w:rFonts w:hint="eastAsia" w:ascii="宋体" w:cs="宋体"/>
          <w:color w:val="auto"/>
          <w:sz w:val="24"/>
          <w:highlight w:val="none"/>
        </w:rPr>
        <w:t>招标文件提供的文件格式投标人必须使用。但表式可以按同样格式进行扩展。</w:t>
      </w:r>
    </w:p>
    <w:p w14:paraId="4E7E611B">
      <w:pPr>
        <w:spacing w:line="440" w:lineRule="exact"/>
        <w:ind w:firstLine="482" w:firstLineChars="200"/>
        <w:rPr>
          <w:rFonts w:ascii="宋体" w:cs="宋体"/>
          <w:color w:val="auto"/>
          <w:sz w:val="24"/>
          <w:highlight w:val="none"/>
        </w:rPr>
      </w:pPr>
      <w:r>
        <w:rPr>
          <w:rFonts w:hint="eastAsia" w:ascii="宋体" w:cs="宋体"/>
          <w:b/>
          <w:color w:val="auto"/>
          <w:kern w:val="0"/>
          <w:sz w:val="24"/>
          <w:highlight w:val="none"/>
        </w:rPr>
        <w:t>11.</w:t>
      </w:r>
      <w:r>
        <w:rPr>
          <w:rFonts w:hint="eastAsia" w:ascii="宋体" w:cs="宋体"/>
          <w:color w:val="auto"/>
          <w:sz w:val="24"/>
          <w:highlight w:val="none"/>
        </w:rPr>
        <w:t>纸质投标文件正本须用不能擦去的墨水书写或打印，投标文件副本可以复印，其正、副本都应装订成册（一正叁副），并在封面上正确标明“正本”、“副本”字样。资格审查文件、商务标分别密封。</w:t>
      </w:r>
    </w:p>
    <w:p w14:paraId="4E7E611C">
      <w:pPr>
        <w:spacing w:line="440" w:lineRule="exact"/>
        <w:ind w:firstLine="480" w:firstLineChars="200"/>
        <w:rPr>
          <w:rFonts w:ascii="宋体" w:cs="宋体"/>
          <w:color w:val="auto"/>
          <w:sz w:val="24"/>
          <w:highlight w:val="none"/>
        </w:rPr>
      </w:pPr>
      <w:r>
        <w:rPr>
          <w:rFonts w:hint="eastAsia" w:ascii="宋体" w:cs="宋体"/>
          <w:color w:val="auto"/>
          <w:sz w:val="24"/>
          <w:highlight w:val="none"/>
        </w:rPr>
        <w:t>全套投标文件应无修改和行间插字。如有修改，须在修改处加盖投标人法定代表人或其代理人的印鉴。</w:t>
      </w:r>
    </w:p>
    <w:p w14:paraId="4E7E611D">
      <w:pPr>
        <w:autoSpaceDE w:val="0"/>
        <w:autoSpaceDN w:val="0"/>
        <w:adjustRightInd w:val="0"/>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12.投标有效期</w:t>
      </w:r>
    </w:p>
    <w:p w14:paraId="4E7E611E">
      <w:pPr>
        <w:spacing w:line="440" w:lineRule="exact"/>
        <w:ind w:firstLine="480" w:firstLineChars="200"/>
        <w:rPr>
          <w:rFonts w:ascii="宋体" w:cs="宋体"/>
          <w:color w:val="auto"/>
          <w:sz w:val="24"/>
          <w:highlight w:val="none"/>
        </w:rPr>
      </w:pPr>
      <w:r>
        <w:rPr>
          <w:rFonts w:hint="eastAsia" w:ascii="宋体" w:cs="宋体"/>
          <w:color w:val="auto"/>
          <w:sz w:val="24"/>
          <w:highlight w:val="none"/>
        </w:rPr>
        <w:t>投标文件自投标截止时间起至投标人须知前附表规定的时间内有效。</w:t>
      </w:r>
    </w:p>
    <w:p w14:paraId="4E7E611F">
      <w:pPr>
        <w:autoSpaceDE w:val="0"/>
        <w:autoSpaceDN w:val="0"/>
        <w:adjustRightInd w:val="0"/>
        <w:spacing w:line="440" w:lineRule="exact"/>
        <w:ind w:firstLine="482" w:firstLineChars="200"/>
        <w:jc w:val="left"/>
        <w:rPr>
          <w:rFonts w:ascii="宋体" w:hAnsi="宋体"/>
          <w:b/>
          <w:bCs/>
          <w:color w:val="auto"/>
          <w:kern w:val="0"/>
          <w:sz w:val="24"/>
          <w:highlight w:val="none"/>
        </w:rPr>
      </w:pPr>
      <w:r>
        <w:rPr>
          <w:rFonts w:ascii="宋体" w:hAnsi="宋体"/>
          <w:b/>
          <w:bCs/>
          <w:color w:val="auto"/>
          <w:kern w:val="0"/>
          <w:sz w:val="24"/>
          <w:highlight w:val="none"/>
        </w:rPr>
        <w:t>13</w:t>
      </w:r>
      <w:r>
        <w:rPr>
          <w:rFonts w:hint="eastAsia" w:ascii="宋体" w:hAnsi="宋体"/>
          <w:b/>
          <w:bCs/>
          <w:color w:val="auto"/>
          <w:kern w:val="0"/>
          <w:sz w:val="24"/>
          <w:highlight w:val="none"/>
        </w:rPr>
        <w:t>、投标保证金</w:t>
      </w:r>
    </w:p>
    <w:p w14:paraId="4E7E6120">
      <w:pPr>
        <w:adjustRightInd w:val="0"/>
        <w:snapToGrid w:val="0"/>
        <w:spacing w:line="440" w:lineRule="exact"/>
        <w:ind w:firstLine="480" w:firstLineChars="200"/>
        <w:rPr>
          <w:rFonts w:ascii="宋体" w:hAnsi="宋体"/>
          <w:bCs/>
          <w:color w:val="auto"/>
          <w:sz w:val="24"/>
          <w:highlight w:val="none"/>
        </w:rPr>
      </w:pPr>
      <w:r>
        <w:rPr>
          <w:rFonts w:hint="eastAsia" w:ascii="宋体" w:hAnsi="宋体"/>
          <w:bCs/>
          <w:color w:val="auto"/>
          <w:sz w:val="24"/>
          <w:highlight w:val="none"/>
        </w:rPr>
        <w:t>本工程不设投标保证金。</w:t>
      </w:r>
    </w:p>
    <w:p w14:paraId="4E7E6121">
      <w:pPr>
        <w:spacing w:line="440" w:lineRule="exact"/>
        <w:ind w:firstLine="472" w:firstLineChars="196"/>
        <w:rPr>
          <w:rFonts w:ascii="宋体" w:cs="宋体"/>
          <w:b/>
          <w:color w:val="auto"/>
          <w:sz w:val="24"/>
          <w:highlight w:val="none"/>
        </w:rPr>
      </w:pPr>
      <w:r>
        <w:rPr>
          <w:rFonts w:ascii="宋体" w:cs="宋体"/>
          <w:b/>
          <w:color w:val="auto"/>
          <w:sz w:val="24"/>
          <w:highlight w:val="none"/>
        </w:rPr>
        <w:t>14</w:t>
      </w:r>
      <w:r>
        <w:rPr>
          <w:rFonts w:hint="eastAsia" w:ascii="宋体" w:cs="宋体"/>
          <w:b/>
          <w:color w:val="auto"/>
          <w:sz w:val="24"/>
          <w:highlight w:val="none"/>
        </w:rPr>
        <w:t>、中标通知书发出后，除不可抗力情况外，中标人出现下列情形之一的，招标人必须取消其中标资格，</w:t>
      </w:r>
    </w:p>
    <w:p w14:paraId="4E7E6122">
      <w:pPr>
        <w:widowControl/>
        <w:spacing w:line="440" w:lineRule="exact"/>
        <w:ind w:firstLine="482" w:firstLineChars="200"/>
        <w:rPr>
          <w:rFonts w:ascii="宋体" w:cs="宋体"/>
          <w:b/>
          <w:color w:val="auto"/>
          <w:sz w:val="24"/>
          <w:highlight w:val="none"/>
        </w:rPr>
      </w:pPr>
      <w:r>
        <w:rPr>
          <w:rFonts w:hint="eastAsia" w:ascii="宋体" w:cs="宋体"/>
          <w:b/>
          <w:color w:val="auto"/>
          <w:sz w:val="24"/>
          <w:highlight w:val="none"/>
        </w:rPr>
        <w:t>14.1放弃中标项目的；</w:t>
      </w:r>
    </w:p>
    <w:p w14:paraId="4E7E6123">
      <w:pPr>
        <w:widowControl/>
        <w:spacing w:line="440" w:lineRule="exact"/>
        <w:ind w:firstLine="482" w:firstLineChars="200"/>
        <w:rPr>
          <w:rFonts w:ascii="宋体" w:cs="宋体"/>
          <w:b/>
          <w:color w:val="auto"/>
          <w:sz w:val="24"/>
          <w:highlight w:val="none"/>
        </w:rPr>
      </w:pPr>
      <w:r>
        <w:rPr>
          <w:rFonts w:hint="eastAsia" w:ascii="宋体" w:cs="宋体"/>
          <w:b/>
          <w:color w:val="auto"/>
          <w:sz w:val="24"/>
          <w:highlight w:val="none"/>
        </w:rPr>
        <w:t>14.2拒不按照招标文件的要求提交履约保证金的；</w:t>
      </w:r>
    </w:p>
    <w:p w14:paraId="4E7E6124">
      <w:pPr>
        <w:widowControl/>
        <w:spacing w:line="440" w:lineRule="exact"/>
        <w:ind w:firstLine="482" w:firstLineChars="200"/>
        <w:rPr>
          <w:rFonts w:ascii="宋体" w:cs="宋体"/>
          <w:b/>
          <w:color w:val="auto"/>
          <w:sz w:val="24"/>
          <w:highlight w:val="none"/>
        </w:rPr>
      </w:pPr>
      <w:r>
        <w:rPr>
          <w:rFonts w:hint="eastAsia" w:ascii="宋体" w:cs="宋体"/>
          <w:b/>
          <w:color w:val="auto"/>
          <w:sz w:val="24"/>
          <w:highlight w:val="none"/>
        </w:rPr>
        <w:t>14.3除不可抗力情况外不执行本招标文件第一章第34条款、35条款的</w:t>
      </w:r>
    </w:p>
    <w:p w14:paraId="4E7E6125">
      <w:pPr>
        <w:widowControl/>
        <w:spacing w:line="440" w:lineRule="exact"/>
        <w:ind w:firstLine="482" w:firstLineChars="200"/>
        <w:rPr>
          <w:rFonts w:ascii="宋体" w:cs="宋体"/>
          <w:b/>
          <w:color w:val="auto"/>
          <w:sz w:val="24"/>
          <w:highlight w:val="none"/>
        </w:rPr>
      </w:pPr>
      <w:r>
        <w:rPr>
          <w:rFonts w:hint="eastAsia" w:ascii="宋体" w:cs="宋体"/>
          <w:b/>
          <w:color w:val="auto"/>
          <w:sz w:val="24"/>
          <w:highlight w:val="none"/>
        </w:rPr>
        <w:t>14.4不与招标人签订合同的，或者在签订合同时向招标人提出附加条件或者更改合同实质性内容的。</w:t>
      </w:r>
    </w:p>
    <w:p w14:paraId="4E7E6126">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存在上述行为的，由招标人取消中标资格，并自认定之日起一年内不得参与招标人任何招投标活动。参与投标的企业将视为遵守以上处理条款。</w:t>
      </w:r>
    </w:p>
    <w:p w14:paraId="4E7E6127">
      <w:pPr>
        <w:jc w:val="center"/>
        <w:rPr>
          <w:rFonts w:ascii="宋体" w:cs="宋体"/>
          <w:b/>
          <w:bCs/>
          <w:color w:val="auto"/>
          <w:sz w:val="28"/>
          <w:szCs w:val="28"/>
          <w:highlight w:val="none"/>
        </w:rPr>
      </w:pPr>
    </w:p>
    <w:p w14:paraId="4E7E6128">
      <w:pPr>
        <w:jc w:val="center"/>
        <w:rPr>
          <w:rFonts w:ascii="宋体" w:cs="宋体"/>
          <w:b/>
          <w:bCs/>
          <w:color w:val="auto"/>
          <w:sz w:val="28"/>
          <w:szCs w:val="28"/>
          <w:highlight w:val="none"/>
        </w:rPr>
      </w:pPr>
      <w:r>
        <w:rPr>
          <w:rFonts w:hint="eastAsia" w:ascii="宋体" w:cs="宋体"/>
          <w:b/>
          <w:bCs/>
          <w:color w:val="auto"/>
          <w:sz w:val="28"/>
          <w:szCs w:val="28"/>
          <w:highlight w:val="none"/>
        </w:rPr>
        <w:t>（四）招标控制价及投标报价</w:t>
      </w:r>
      <w:bookmarkEnd w:id="18"/>
    </w:p>
    <w:p w14:paraId="4E7E6129">
      <w:pPr>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15．招标控制价</w:t>
      </w:r>
    </w:p>
    <w:p w14:paraId="4E7E612A">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15.1本工程最低下浮率为10%。高于或等于10%的为有效报价，低于10%的为无效投标。</w:t>
      </w:r>
    </w:p>
    <w:p w14:paraId="4E7E612B">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备注：高于10%招标人是指11%、12%等等，低于10%是指9%、8%等等。</w:t>
      </w:r>
    </w:p>
    <w:p w14:paraId="4E7E612C">
      <w:pPr>
        <w:adjustRightInd w:val="0"/>
        <w:snapToGrid w:val="0"/>
        <w:spacing w:line="440" w:lineRule="exact"/>
        <w:ind w:firstLine="480" w:firstLineChars="200"/>
        <w:rPr>
          <w:rFonts w:ascii="宋体" w:cs="宋体"/>
          <w:color w:val="auto"/>
          <w:sz w:val="24"/>
          <w:highlight w:val="none"/>
        </w:rPr>
      </w:pPr>
      <w:r>
        <w:rPr>
          <w:rFonts w:hint="eastAsia" w:ascii="宋体" w:cs="宋体"/>
          <w:color w:val="auto"/>
          <w:sz w:val="24"/>
          <w:highlight w:val="none"/>
        </w:rPr>
        <w:t>15.2招标控制价编制依据：详见投标人须知前附表。</w:t>
      </w:r>
    </w:p>
    <w:p w14:paraId="4E7E612D">
      <w:pPr>
        <w:adjustRightInd w:val="0"/>
        <w:snapToGrid w:val="0"/>
        <w:spacing w:line="440" w:lineRule="exact"/>
        <w:ind w:firstLine="480" w:firstLineChars="200"/>
        <w:rPr>
          <w:rFonts w:ascii="宋体" w:cs="宋体"/>
          <w:color w:val="auto"/>
          <w:sz w:val="24"/>
          <w:highlight w:val="none"/>
        </w:rPr>
      </w:pPr>
      <w:r>
        <w:rPr>
          <w:rFonts w:hint="eastAsia" w:ascii="宋体" w:cs="宋体"/>
          <w:color w:val="auto"/>
          <w:sz w:val="24"/>
          <w:highlight w:val="none"/>
        </w:rPr>
        <w:t>15.3公布的招标控制价文件组成：详见投标人须知前附表。</w:t>
      </w:r>
    </w:p>
    <w:p w14:paraId="4E7E612E">
      <w:pPr>
        <w:adjustRightInd w:val="0"/>
        <w:snapToGrid w:val="0"/>
        <w:spacing w:line="440" w:lineRule="exact"/>
        <w:ind w:firstLine="480" w:firstLineChars="200"/>
        <w:rPr>
          <w:rFonts w:ascii="宋体" w:cs="宋体"/>
          <w:color w:val="auto"/>
          <w:sz w:val="24"/>
          <w:highlight w:val="none"/>
        </w:rPr>
      </w:pPr>
      <w:r>
        <w:rPr>
          <w:rFonts w:hint="eastAsia" w:ascii="宋体" w:cs="宋体"/>
          <w:color w:val="auto"/>
          <w:sz w:val="24"/>
          <w:highlight w:val="none"/>
        </w:rPr>
        <w:t>15.4公布招标控制价时间：随招标文件公布。</w:t>
      </w:r>
    </w:p>
    <w:p w14:paraId="4E7E612F">
      <w:pPr>
        <w:spacing w:line="440" w:lineRule="exact"/>
        <w:ind w:firstLine="480" w:firstLineChars="200"/>
        <w:rPr>
          <w:rFonts w:ascii="宋体" w:cs="宋体"/>
          <w:color w:val="auto"/>
          <w:sz w:val="24"/>
          <w:highlight w:val="none"/>
        </w:rPr>
      </w:pPr>
      <w:r>
        <w:rPr>
          <w:rFonts w:hint="eastAsia" w:ascii="宋体" w:cs="宋体"/>
          <w:color w:val="auto"/>
          <w:sz w:val="24"/>
          <w:highlight w:val="none"/>
        </w:rPr>
        <w:t>15.5 招标控制价异议处理：</w:t>
      </w:r>
    </w:p>
    <w:p w14:paraId="4E7E6130">
      <w:pPr>
        <w:spacing w:line="440" w:lineRule="exact"/>
        <w:ind w:firstLine="480" w:firstLineChars="200"/>
        <w:rPr>
          <w:rFonts w:ascii="宋体" w:cs="宋体"/>
          <w:color w:val="auto"/>
          <w:sz w:val="24"/>
          <w:highlight w:val="none"/>
        </w:rPr>
      </w:pPr>
      <w:r>
        <w:rPr>
          <w:rFonts w:hint="eastAsia" w:ascii="宋体" w:cs="宋体"/>
          <w:color w:val="auto"/>
          <w:sz w:val="24"/>
          <w:highlight w:val="none"/>
        </w:rPr>
        <w:t>投标人对招标控制价有异议的，应在控制价发布后3日内向招标人书面提出；招标人不答复或对招标人答复不满意时，投标人可按规定程序向工程所在地造价管理机构投诉。</w:t>
      </w:r>
    </w:p>
    <w:p w14:paraId="4E7E6131">
      <w:pPr>
        <w:spacing w:line="440" w:lineRule="exact"/>
        <w:ind w:firstLine="480" w:firstLineChars="200"/>
        <w:rPr>
          <w:rFonts w:ascii="宋体" w:cs="宋体"/>
          <w:color w:val="auto"/>
          <w:sz w:val="24"/>
          <w:highlight w:val="none"/>
        </w:rPr>
      </w:pPr>
      <w:r>
        <w:rPr>
          <w:rFonts w:hint="eastAsia" w:ascii="宋体" w:cs="宋体"/>
          <w:color w:val="auto"/>
          <w:sz w:val="24"/>
          <w:highlight w:val="none"/>
        </w:rPr>
        <w:t>招标人根据招标控制价复查结论需要重新公布招标控制价的，其最终公布的时间至招标文件要求提交投标文件截止时间不足3天的，将相应延长投标文件的截止时间。</w:t>
      </w:r>
    </w:p>
    <w:p w14:paraId="4E7E6132">
      <w:pPr>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16、投标报价方式：</w:t>
      </w:r>
    </w:p>
    <w:p w14:paraId="4E7E6133">
      <w:pPr>
        <w:spacing w:line="440" w:lineRule="exact"/>
        <w:ind w:firstLine="480" w:firstLineChars="200"/>
        <w:rPr>
          <w:rFonts w:ascii="宋体" w:cs="宋体"/>
          <w:color w:val="auto"/>
          <w:sz w:val="24"/>
          <w:highlight w:val="none"/>
        </w:rPr>
      </w:pPr>
      <w:r>
        <w:rPr>
          <w:rFonts w:hint="eastAsia" w:ascii="宋体" w:cs="宋体"/>
          <w:color w:val="auto"/>
          <w:sz w:val="24"/>
          <w:highlight w:val="none"/>
        </w:rPr>
        <w:t>16.1本次报价为</w:t>
      </w:r>
      <w:r>
        <w:rPr>
          <w:rFonts w:hint="eastAsia" w:ascii="宋体" w:cs="宋体"/>
          <w:b/>
          <w:color w:val="auto"/>
          <w:sz w:val="24"/>
          <w:highlight w:val="none"/>
          <w:u w:val="single"/>
        </w:rPr>
        <w:t xml:space="preserve">  固定下浮率   </w:t>
      </w:r>
      <w:r>
        <w:rPr>
          <w:rFonts w:hint="eastAsia" w:ascii="宋体" w:cs="宋体"/>
          <w:color w:val="auto"/>
          <w:sz w:val="24"/>
          <w:highlight w:val="none"/>
        </w:rPr>
        <w:t>报价。投标人应结合本企业的技术水平、管理水平和工程规模等实际情况，自报下浮率，报价时需充分考虑工程实施范围内外的单位、个人和其它可能出现的阻挠施工、以及在合同履行过程中可能发生风险的全部因素。中标后，投标人不得以任何原由提出超出合同约定条款以外的相关费用。</w:t>
      </w:r>
    </w:p>
    <w:p w14:paraId="4E7E6134">
      <w:pPr>
        <w:spacing w:line="440" w:lineRule="exact"/>
        <w:ind w:firstLine="482" w:firstLineChars="200"/>
        <w:rPr>
          <w:rFonts w:ascii="宋体" w:hAnsi="宋体"/>
          <w:color w:val="auto"/>
          <w:sz w:val="24"/>
          <w:highlight w:val="none"/>
        </w:rPr>
      </w:pPr>
      <w:r>
        <w:rPr>
          <w:rFonts w:hint="eastAsia" w:ascii="宋体" w:cs="宋体"/>
          <w:b/>
          <w:color w:val="auto"/>
          <w:sz w:val="24"/>
          <w:highlight w:val="none"/>
        </w:rPr>
        <w:t>16.2</w:t>
      </w:r>
      <w:r>
        <w:rPr>
          <w:rFonts w:hint="eastAsia" w:ascii="宋体" w:hAnsi="宋体"/>
          <w:color w:val="auto"/>
          <w:sz w:val="24"/>
          <w:highlight w:val="none"/>
        </w:rPr>
        <w:t>各投标人在投标报价（即报下浮率）时应综合考虑以下因素，中标后不得对招标人提出额外增加费用的要求，并在结算编制的时候考虑进结算价中，招标人不再另行支付费用：</w:t>
      </w:r>
    </w:p>
    <w:p w14:paraId="4E7E6135">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（1）下列项目费用由各投标人自行考虑，并列入投标报价，工程结算时不作调整：</w:t>
      </w:r>
    </w:p>
    <w:p w14:paraId="4E7E6136">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a.因施工场地狭小而发生的一切费用。</w:t>
      </w:r>
    </w:p>
    <w:p w14:paraId="4E7E6137">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b.应独立、有效地做好该工程周边的有关群众工作，并充分考虑工程实施范围内外的单位、个人和其他可能出现阻挠施工的情况，若发生的机械台班停置费、多次机械进退场费、人员窝工、处理周边群众纠纷等费用和损失，解决施工现场周边群众干扰的费用。</w:t>
      </w:r>
    </w:p>
    <w:p w14:paraId="4E7E6138">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c.本工程水源、电源接至各施工场地所需费用。</w:t>
      </w:r>
    </w:p>
    <w:p w14:paraId="4E7E6139">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d.施工排水等接至市政总管所需费用。</w:t>
      </w:r>
    </w:p>
    <w:p w14:paraId="4E7E613A">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e.现场残留硬化场地（如有时）的拆除费用。</w:t>
      </w:r>
    </w:p>
    <w:p w14:paraId="4E7E613B">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f.施工范围内的渣土清运所涉及的所有费用。</w:t>
      </w:r>
    </w:p>
    <w:p w14:paraId="4E7E613C">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g.本工程施工过程中运出的淤泥等渣土必须运出校区范围以外，其外运费用。</w:t>
      </w:r>
    </w:p>
    <w:p w14:paraId="4E7E613D">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h.本工程垃圾（含拆迁建筑垃圾）拆除清运费用。</w:t>
      </w:r>
    </w:p>
    <w:p w14:paraId="4E7E613E">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I.赶工费、按质论价费、二次搬运费、特殊条件下施工增加费、冬雨季施工增加费、夜间施工增加费、临时设施费。</w:t>
      </w:r>
    </w:p>
    <w:p w14:paraId="4E7E613F">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J.本工程施工期间涉及环保、消防、城市卫生、市政、居委会、派出所等相关部门收取的费用，以及夜间文明施工、保护周边地下管线和架空线的安全的费用等。</w:t>
      </w:r>
    </w:p>
    <w:p w14:paraId="4E7E6140">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（2）完成本工程合同内全部内容的措施项目费由各投标人根据现场实际条件自行报价，工程竣工结算时不作调整。</w:t>
      </w:r>
    </w:p>
    <w:p w14:paraId="4E7E6141">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如实际施工时材料为甲供的，结算时该部分的一切施工所需费用（含人工、机械、辅材、管理费、利润、规费、税金等）由中标人承担。对于甲供材料中的固体材料或块材（如内外墙砖及地砖等）的使用量招标人按照相关计价表的含量进行提供；对于非块体材料（如内外墙乳胶漆）按招标人提供的涂料品种每公斤实际可以粉刷的面积进行提供，结算时上述类型的甲供材料因中标人自身施工工艺、水平等原因导致材料使用量超过规定用量的，超出供应的材料费用由中标人承担，结算时直接从工程款中扣除。</w:t>
      </w:r>
    </w:p>
    <w:p w14:paraId="4E7E6142">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（4）招标人如推荐材料、设备品牌的，中标后必须按推荐品牌报招标人项目部确认后进行采购（若选其他品牌需提供与推荐品牌同档次或优于推荐品牌的相关证明资料），报招标人确认后方可进场。</w:t>
      </w:r>
    </w:p>
    <w:p w14:paraId="4E7E6143">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（5）本工程未提供推荐品牌的材料，中标人须使用国产中档及以上且符合国家标准的合格产品，其规格、技术指标、质量等级必须满足相应技术规范或技术标准的要求。</w:t>
      </w:r>
    </w:p>
    <w:p w14:paraId="4E7E6144">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6）在工程实施过程中，承包人必须收集齐全所有隐蔽项目的影像视频资料，在送审结算资料中必须一并提交。所有签证资料必须附有详细影像彩色照片，所摄照片必须有可参照性。如影像资料未能反映清单、签证等列明的工作内容则结算时该项内容不予认可。</w:t>
      </w:r>
    </w:p>
    <w:p w14:paraId="4E7E6145">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（7）本工程在实施过程中可能会受到季节、气候的影响，投标人应结合本工程情况进行报价。由于季节气候影响导致投标人在施工过程中发生的相关费用须纳入投标报价中一次性包定，结算时费用不调整。</w:t>
      </w:r>
    </w:p>
    <w:p w14:paraId="4E7E6146">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（8）投标人在投标报价中应充分考虑施工过程中对墙面、地面、管线等造成破损及损坏部分进行修复，使其恢复原样等所包含的各项费用，该费用包含在投标报价中，一次性包死，结算时不作调整。</w:t>
      </w:r>
    </w:p>
    <w:p w14:paraId="4E7E6147">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9）作为一个有经验的承包商，投标报价时应考虑施工过程中可能发生的各种风险因素，在整个工程施工过程中，若发生对周边相关建筑物、构筑物、设施损坏的，承包人必须负责更换或修复，直至得到发包人的认可，期间涉及的所有费用由承包人承担，招标人不再另行支付该项费用，结算时一律不作调整。</w:t>
      </w:r>
    </w:p>
    <w:p w14:paraId="4E7E6148">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10）在实际施工中，发包人可以无条件要求承包人更换不符合要求的产品，购进的材料设备与提供的样品不一致时，由承包人无条件退货，如因使用不符合国家标准及各项指标的材料，由此引起的相关费用由承包人承担，结算时一律不作调整。</w:t>
      </w:r>
    </w:p>
    <w:p w14:paraId="4E7E6149">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（11）若投标人在投标报价时擅自改变招标文件等内容，评审时未被发现，实际施工时均按招标文件内容执行，结算时不予调整。</w:t>
      </w:r>
    </w:p>
    <w:p w14:paraId="4E7E614A">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（12）投标人工地踏勘应充分了解工地位置情况，道路、储存空间、装卸限制及任何其它足以影响报价的情况，任何忽视或误解工地情况而导致的索赔及工期延长申请将不被批准。</w:t>
      </w:r>
    </w:p>
    <w:p w14:paraId="4E7E614B">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13）由于新型冠状肺炎疫情的影响，各投标人应增强风险防范意识，充分考虑现行文件要求，并充分考虑疫情期间人工、材料、机械费用可能波动的价格风险以及疫情防控要求需采取的措施、物资等有关费用，并综合考虑在投标报价中。</w:t>
      </w:r>
    </w:p>
    <w:p w14:paraId="4E7E614C">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（14）售后方面要求：出现故障时，中标人在接到报修电话后一小时内必须到场。</w:t>
      </w:r>
    </w:p>
    <w:p w14:paraId="4E7E614D">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（15）施工用水、电由承包人自行承担，承包人进场时，需联系招标人安装水、电表，并及时记录初始表读数，所涉及的费用均包含的投标报价中，待工程结束时一并结算。</w:t>
      </w:r>
    </w:p>
    <w:p w14:paraId="4E7E614E">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16）本工程在实施过程中可能会受到季节、气候的影响，对于可能发生的回填土处理，请各投标单位结合工程实际情况在施工方案中写明应该采用的相应措施，以确保工程质量和工期，所涉及的所有费用由中标人承担。</w:t>
      </w:r>
    </w:p>
    <w:p w14:paraId="4E7E614F">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（17）临时施工便道费用自行考虑计入报价，结算时不作调整。</w:t>
      </w:r>
    </w:p>
    <w:p w14:paraId="4E7E6150">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（18）施工过程中所需的垂直运输费、脚手架费用等措施费用由投标人自行考虑，其费用列入投标报价，工程结算时不作调整。</w:t>
      </w:r>
    </w:p>
    <w:p w14:paraId="4E7E6151">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（19）经公安消防部门抽检的消防设施、设备由中标人负责送检（相关手续由招标人配合办理），所发生的送检样品的材料费、车旅费等（不含检测费）由投标人自行考虑计入投标报价中，结算时一律不作调整。</w:t>
      </w:r>
    </w:p>
    <w:p w14:paraId="4E7E6152">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（20）本工程在施工时必须采取一定的防尘措施，所涉及的费用含在投标报价中。若施工过程中被环保等部门通报或处罚，则一切责任和费用由中标人承担。</w:t>
      </w:r>
    </w:p>
    <w:p w14:paraId="4E7E6153">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（21）拆除部分请投标单位严格按照要求，自己组织现场勘察，综合考虑报价，结算时不作调整。</w:t>
      </w:r>
    </w:p>
    <w:p w14:paraId="4E7E6154">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（22）暗敷的水电管线其开槽、修复费用应包含在相应的管线综合单价内，结算时不另行计量。</w:t>
      </w:r>
    </w:p>
    <w:p w14:paraId="4E7E6155">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（23）若涉及装修工程，工程所用木工板等材料甲醛释放等级须为E1级。</w:t>
      </w:r>
    </w:p>
    <w:p w14:paraId="4E7E6156">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24）若涉及装修工程，根据《民用建筑工程室内环境污染控制标准》承包人必须保证采用环保材料、进行环保施工、装修后室内空气质量达到国家环保标准；本装修工程预验收前，且发包人未搬入自行采购的家具设施前，发包人如需对室内空气质量进行检测，承包人必须委托具有国家资质的检测机构进行室内环境空气质量检测，检测项目中含“甲醛”、“苯类”、“TVOC”等项；检测数据以具有国家资质的检测机构出具的《环境检测报告》为准。该项费用需由投标人综合考虑在投标报价中。不满足以上要求的检测报告或报告不全，工程不得验收。</w:t>
      </w:r>
    </w:p>
    <w:p w14:paraId="4E7E6157">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25）中标人必须根据有关规定要求，及时对材料、设备、器械进行必要的试验、检测，同时须确保材料、设备、器械一次性通过检测。否则由此引起误工、返工而造成的材料、人工、机械、工期损失等一切费用全部由承包人承担，同时招标人保留对中标人进一步处罚的权利。</w:t>
      </w:r>
    </w:p>
    <w:p w14:paraId="4E7E6158">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26）对于石材、装饰面板、玻璃、面砖、成品实木门、乳胶漆等重要施工环节，中标人应保证材料的色差、工艺统一，符合国家相关施工标准，石材铺贴及木饰面施工不能存在交接高差（设计有的除外）、裂纹、坏点等工艺缺陷。</w:t>
      </w:r>
    </w:p>
    <w:p w14:paraId="4E7E6159">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（27）本工程在施工时必须采取一定的防尘措施，所涉及的费用含在投标报价中。若施工过程中被环保等部门通报或处罚，则一切责任和费用由中标人承担。</w:t>
      </w:r>
    </w:p>
    <w:p w14:paraId="4E7E615A">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28）若涉及结构加固工程，中标人应在施工前将施工方案，报相关专家进行论证（如需要）；经专家论证并认定的施工方案报招标人及监理工程师；经招标人及监理工程师书面同意后中标人方可进行施工。结构加固处理施工方案论证及施工等所有费用均由中标人承担，其费用由各投标人自行考虑并列入投标报价，工程结算时不作调整。</w:t>
      </w:r>
    </w:p>
    <w:p w14:paraId="4E7E615B">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（29）临时施工便道、管道二次驳运等措施费用自行考虑计入报价，结算时不作调整。</w:t>
      </w:r>
    </w:p>
    <w:p w14:paraId="4E7E615C">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（30）设计图纸中若有施工方案，则为建议方案，投标人应自行考虑是否需要调整，如需调整，调整后的施工方案在得到招标人、监理单位、设计单位认可后方可实施，中标后不管方案如何调整，费用不再调整。</w:t>
      </w:r>
    </w:p>
    <w:p w14:paraId="4E7E615D">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（31）各投标单位投标时应考虑甲供材保管费、取费，结算时不作调整。</w:t>
      </w:r>
    </w:p>
    <w:p w14:paraId="4E7E615E">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（32）各投标单位投标时应考虑竣工验收后，承包人应提供纸质及电子版的竣工图（招标人需要时）的费用，结算时不作调整。</w:t>
      </w:r>
    </w:p>
    <w:p w14:paraId="4E7E615F">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（33）因本工程涉及改造及抢修工程，特别是抢修工程必须按招标人要求的时间完成，施工难度大、工期紧，请投标单位审慎投标并报价。</w:t>
      </w:r>
    </w:p>
    <w:p w14:paraId="4E7E6160">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（34）其他未尽事宜在书面答疑和第三章合同中明确。</w:t>
      </w:r>
    </w:p>
    <w:p w14:paraId="4E7E6161">
      <w:pPr>
        <w:spacing w:line="5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17.</w:t>
      </w:r>
      <w:r>
        <w:rPr>
          <w:rFonts w:hint="eastAsia"/>
          <w:color w:val="auto"/>
          <w:highlight w:val="none"/>
        </w:rPr>
        <w:t xml:space="preserve"> </w:t>
      </w:r>
      <w:r>
        <w:rPr>
          <w:rFonts w:hint="eastAsia" w:ascii="宋体" w:hAnsi="宋体" w:cs="宋体"/>
          <w:b/>
          <w:color w:val="auto"/>
          <w:kern w:val="0"/>
          <w:sz w:val="24"/>
          <w:highlight w:val="none"/>
        </w:rPr>
        <w:t>结算编制依据</w:t>
      </w:r>
    </w:p>
    <w:p w14:paraId="4E7E6162">
      <w:pPr>
        <w:spacing w:line="520" w:lineRule="exact"/>
        <w:ind w:firstLine="482" w:firstLineChars="200"/>
        <w:rPr>
          <w:rFonts w:ascii="宋体" w:hAnsi="宋体"/>
          <w:b/>
          <w:color w:val="auto"/>
          <w:sz w:val="24"/>
          <w:highlight w:val="none"/>
          <w:u w:val="single"/>
        </w:rPr>
      </w:pPr>
      <w:r>
        <w:rPr>
          <w:rFonts w:hint="eastAsia" w:ascii="宋体" w:hAnsi="宋体" w:cs="宋体"/>
          <w:b/>
          <w:color w:val="auto"/>
          <w:kern w:val="0"/>
          <w:sz w:val="24"/>
          <w:highlight w:val="none"/>
        </w:rPr>
        <w:t>17.1</w:t>
      </w:r>
      <w:r>
        <w:rPr>
          <w:rFonts w:hint="eastAsia" w:ascii="宋体" w:hAnsi="宋体"/>
          <w:b/>
          <w:color w:val="auto"/>
          <w:sz w:val="24"/>
          <w:highlight w:val="none"/>
          <w:u w:val="single"/>
        </w:rPr>
        <w:t>工程竣工结算审核原则：</w:t>
      </w:r>
    </w:p>
    <w:p w14:paraId="4E7E6163">
      <w:pPr>
        <w:autoSpaceDE w:val="0"/>
        <w:autoSpaceDN w:val="0"/>
        <w:adjustRightInd w:val="0"/>
        <w:spacing w:line="520" w:lineRule="exact"/>
        <w:ind w:firstLine="482" w:firstLineChars="200"/>
        <w:rPr>
          <w:rFonts w:ascii="宋体" w:hAnsi="宋体"/>
          <w:b/>
          <w:color w:val="auto"/>
          <w:sz w:val="24"/>
          <w:highlight w:val="none"/>
          <w:u w:val="single"/>
        </w:rPr>
      </w:pPr>
      <w:r>
        <w:rPr>
          <w:rFonts w:hint="eastAsia" w:ascii="宋体" w:hAnsi="宋体"/>
          <w:b/>
          <w:color w:val="auto"/>
          <w:sz w:val="24"/>
          <w:highlight w:val="none"/>
          <w:u w:val="single"/>
        </w:rPr>
        <w:t>17.1.1 《建设工程工程量清单计价标准》（GB/T50500-2024）及《房屋建筑与装饰工程工程量计算标准》（GB/T50854-2024）、《通用安装工程工程量计算标准》（GB/T50856-2024）工程量计算标准。省住房和城乡建设厅关于实施《建设工程工程量清单计价标准》（GB/T50500-2024）及9本工程量计算标准有关事宜的公告（2025）第12号；《江苏省建筑与装饰工程消耗量》《江苏省市政工程消耗量》《江苏省通用安装工程消耗量》《江苏省建设工程费用参考》及《江苏建设工程施工机具台班费用参考表》；国家及省级、行业建设主管部门颁发的工程计量与计价相关规定，以及根据工程需要补充的工程量计算规则。</w:t>
      </w:r>
    </w:p>
    <w:p w14:paraId="4E7E6164">
      <w:pPr>
        <w:autoSpaceDE w:val="0"/>
        <w:autoSpaceDN w:val="0"/>
        <w:adjustRightInd w:val="0"/>
        <w:spacing w:line="520" w:lineRule="exact"/>
        <w:ind w:firstLine="482" w:firstLineChars="200"/>
        <w:rPr>
          <w:rFonts w:ascii="宋体" w:hAnsi="宋体"/>
          <w:b/>
          <w:color w:val="auto"/>
          <w:sz w:val="24"/>
          <w:highlight w:val="none"/>
          <w:u w:val="single"/>
        </w:rPr>
      </w:pPr>
      <w:r>
        <w:rPr>
          <w:rFonts w:hint="eastAsia" w:ascii="宋体" w:hAnsi="宋体"/>
          <w:b/>
          <w:color w:val="auto"/>
          <w:sz w:val="24"/>
          <w:highlight w:val="none"/>
          <w:u w:val="single"/>
        </w:rPr>
        <w:t>17.1.2人工工资执行普工140元/工日、一般技工和高级技工均为250元/工日、机械台班单价按江苏省建设工程施工机具台班采用参考表，材料参照同期南通市建设工程主要材料价格指数中的价格及市场价。若同期南通市建设工程主要材料价格指数无价格的材料，则按发包人认价为准，认价材料不下浮。</w:t>
      </w:r>
    </w:p>
    <w:p w14:paraId="4E7E6165">
      <w:pPr>
        <w:autoSpaceDE w:val="0"/>
        <w:autoSpaceDN w:val="0"/>
        <w:adjustRightInd w:val="0"/>
        <w:spacing w:line="520" w:lineRule="exact"/>
        <w:ind w:firstLine="482" w:firstLineChars="200"/>
        <w:rPr>
          <w:rFonts w:ascii="宋体" w:hAnsi="宋体"/>
          <w:b/>
          <w:color w:val="auto"/>
          <w:sz w:val="24"/>
          <w:highlight w:val="none"/>
          <w:u w:val="single"/>
        </w:rPr>
      </w:pPr>
      <w:r>
        <w:rPr>
          <w:rFonts w:hint="eastAsia" w:ascii="宋体" w:hAnsi="宋体"/>
          <w:b/>
          <w:color w:val="auto"/>
          <w:sz w:val="24"/>
          <w:highlight w:val="none"/>
          <w:u w:val="single"/>
        </w:rPr>
        <w:t>17.1.3上述16.2条款全部内容。</w:t>
      </w:r>
    </w:p>
    <w:p w14:paraId="4E7E6166">
      <w:pPr>
        <w:autoSpaceDE w:val="0"/>
        <w:autoSpaceDN w:val="0"/>
        <w:adjustRightInd w:val="0"/>
        <w:spacing w:line="520" w:lineRule="exact"/>
        <w:ind w:firstLine="482" w:firstLineChars="200"/>
        <w:rPr>
          <w:rFonts w:ascii="宋体" w:hAnsi="宋体"/>
          <w:b/>
          <w:bCs/>
          <w:color w:val="auto"/>
          <w:kern w:val="0"/>
          <w:sz w:val="24"/>
          <w:highlight w:val="none"/>
          <w:u w:val="single"/>
        </w:rPr>
      </w:pPr>
      <w:r>
        <w:rPr>
          <w:rFonts w:hint="eastAsia" w:ascii="宋体" w:hAnsi="宋体"/>
          <w:b/>
          <w:color w:val="auto"/>
          <w:sz w:val="24"/>
          <w:highlight w:val="none"/>
          <w:u w:val="single"/>
        </w:rPr>
        <w:t>17.1.4 相关费率计取见下表，其余不计取：</w:t>
      </w:r>
    </w:p>
    <w:tbl>
      <w:tblPr>
        <w:tblStyle w:val="35"/>
        <w:tblW w:w="9433" w:type="dxa"/>
        <w:tblInd w:w="108" w:type="dxa"/>
        <w:tblLayout w:type="fixed"/>
        <w:tblCellMar>
          <w:top w:w="0" w:type="dxa"/>
          <w:left w:w="108" w:type="dxa"/>
          <w:bottom w:w="0" w:type="dxa"/>
          <w:right w:w="108" w:type="dxa"/>
        </w:tblCellMar>
      </w:tblPr>
      <w:tblGrid>
        <w:gridCol w:w="477"/>
        <w:gridCol w:w="1470"/>
        <w:gridCol w:w="2410"/>
        <w:gridCol w:w="824"/>
        <w:gridCol w:w="850"/>
        <w:gridCol w:w="851"/>
        <w:gridCol w:w="850"/>
        <w:gridCol w:w="850"/>
        <w:gridCol w:w="851"/>
      </w:tblGrid>
      <w:tr w14:paraId="4E7E6170">
        <w:tblPrEx>
          <w:tblCellMar>
            <w:top w:w="0" w:type="dxa"/>
            <w:left w:w="108" w:type="dxa"/>
            <w:bottom w:w="0" w:type="dxa"/>
            <w:right w:w="108" w:type="dxa"/>
          </w:tblCellMar>
        </w:tblPrEx>
        <w:trPr>
          <w:trHeight w:val="569"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167">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序号</w:t>
            </w:r>
          </w:p>
        </w:tc>
        <w:tc>
          <w:tcPr>
            <w:tcW w:w="1470" w:type="dxa"/>
            <w:tcBorders>
              <w:top w:val="single" w:color="auto" w:sz="4" w:space="0"/>
              <w:left w:val="single" w:color="auto" w:sz="4" w:space="0"/>
              <w:bottom w:val="single" w:color="auto" w:sz="4" w:space="0"/>
              <w:right w:val="single" w:color="auto" w:sz="4" w:space="0"/>
            </w:tcBorders>
            <w:vAlign w:val="center"/>
          </w:tcPr>
          <w:p w14:paraId="4E7E6168">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项目</w:t>
            </w:r>
          </w:p>
        </w:tc>
        <w:tc>
          <w:tcPr>
            <w:tcW w:w="2410" w:type="dxa"/>
            <w:tcBorders>
              <w:top w:val="single" w:color="auto" w:sz="4" w:space="0"/>
              <w:left w:val="single" w:color="auto" w:sz="4" w:space="0"/>
              <w:bottom w:val="single" w:color="auto" w:sz="4" w:space="0"/>
              <w:right w:val="single" w:color="auto" w:sz="4" w:space="0"/>
            </w:tcBorders>
            <w:vAlign w:val="center"/>
          </w:tcPr>
          <w:p w14:paraId="4E7E6169">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计费基数</w:t>
            </w:r>
          </w:p>
        </w:tc>
        <w:tc>
          <w:tcPr>
            <w:tcW w:w="824" w:type="dxa"/>
            <w:tcBorders>
              <w:top w:val="single" w:color="auto" w:sz="4" w:space="0"/>
              <w:left w:val="single" w:color="auto" w:sz="4" w:space="0"/>
              <w:bottom w:val="single" w:color="auto" w:sz="4" w:space="0"/>
              <w:right w:val="single" w:color="auto" w:sz="4" w:space="0"/>
            </w:tcBorders>
            <w:vAlign w:val="center"/>
          </w:tcPr>
          <w:p w14:paraId="4E7E616A">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土建（%）</w:t>
            </w:r>
          </w:p>
        </w:tc>
        <w:tc>
          <w:tcPr>
            <w:tcW w:w="850" w:type="dxa"/>
            <w:tcBorders>
              <w:top w:val="single" w:color="auto" w:sz="4" w:space="0"/>
              <w:left w:val="single" w:color="auto" w:sz="4" w:space="0"/>
              <w:bottom w:val="single" w:color="auto" w:sz="4" w:space="0"/>
              <w:right w:val="single" w:color="auto" w:sz="4" w:space="0"/>
            </w:tcBorders>
            <w:vAlign w:val="center"/>
          </w:tcPr>
          <w:p w14:paraId="4E7E616B">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修缮（%）</w:t>
            </w:r>
          </w:p>
        </w:tc>
        <w:tc>
          <w:tcPr>
            <w:tcW w:w="851" w:type="dxa"/>
            <w:tcBorders>
              <w:top w:val="single" w:color="auto" w:sz="4" w:space="0"/>
              <w:left w:val="single" w:color="auto" w:sz="4" w:space="0"/>
              <w:bottom w:val="single" w:color="auto" w:sz="4" w:space="0"/>
              <w:right w:val="single" w:color="auto" w:sz="4" w:space="0"/>
            </w:tcBorders>
            <w:vAlign w:val="center"/>
          </w:tcPr>
          <w:p w14:paraId="4E7E616C">
            <w:pPr>
              <w:tabs>
                <w:tab w:val="left" w:pos="2410"/>
              </w:tabs>
              <w:spacing w:line="360" w:lineRule="auto"/>
              <w:jc w:val="center"/>
              <w:rPr>
                <w:color w:val="auto"/>
                <w:highlight w:val="none"/>
              </w:rPr>
            </w:pPr>
            <w:r>
              <w:rPr>
                <w:rFonts w:hint="eastAsia" w:ascii="宋体" w:hAnsi="宋体" w:cs="宋体"/>
                <w:b/>
                <w:color w:val="auto"/>
                <w:szCs w:val="21"/>
                <w:highlight w:val="none"/>
                <w:lang w:bidi="ar"/>
              </w:rPr>
              <w:t>装饰（%）</w:t>
            </w:r>
          </w:p>
        </w:tc>
        <w:tc>
          <w:tcPr>
            <w:tcW w:w="850" w:type="dxa"/>
            <w:tcBorders>
              <w:top w:val="single" w:color="auto" w:sz="4" w:space="0"/>
              <w:left w:val="single" w:color="auto" w:sz="4" w:space="0"/>
              <w:bottom w:val="single" w:color="auto" w:sz="4" w:space="0"/>
              <w:right w:val="single" w:color="auto" w:sz="4" w:space="0"/>
            </w:tcBorders>
            <w:vAlign w:val="center"/>
          </w:tcPr>
          <w:p w14:paraId="4E7E616D">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市政（%）</w:t>
            </w:r>
          </w:p>
        </w:tc>
        <w:tc>
          <w:tcPr>
            <w:tcW w:w="850" w:type="dxa"/>
            <w:tcBorders>
              <w:top w:val="single" w:color="auto" w:sz="4" w:space="0"/>
              <w:left w:val="single" w:color="auto" w:sz="4" w:space="0"/>
              <w:bottom w:val="single" w:color="auto" w:sz="4" w:space="0"/>
              <w:right w:val="single" w:color="auto" w:sz="4" w:space="0"/>
            </w:tcBorders>
            <w:vAlign w:val="center"/>
          </w:tcPr>
          <w:p w14:paraId="4E7E616E">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安装（%）</w:t>
            </w:r>
          </w:p>
        </w:tc>
        <w:tc>
          <w:tcPr>
            <w:tcW w:w="851" w:type="dxa"/>
            <w:tcBorders>
              <w:top w:val="single" w:color="auto" w:sz="4" w:space="0"/>
              <w:left w:val="single" w:color="auto" w:sz="4" w:space="0"/>
              <w:bottom w:val="single" w:color="auto" w:sz="4" w:space="0"/>
              <w:right w:val="single" w:color="auto" w:sz="4" w:space="0"/>
            </w:tcBorders>
            <w:vAlign w:val="center"/>
          </w:tcPr>
          <w:p w14:paraId="4E7E616F">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加固（%）</w:t>
            </w:r>
          </w:p>
        </w:tc>
      </w:tr>
      <w:tr w14:paraId="4E7E617A">
        <w:tblPrEx>
          <w:tblCellMar>
            <w:top w:w="0" w:type="dxa"/>
            <w:left w:w="108" w:type="dxa"/>
            <w:bottom w:w="0" w:type="dxa"/>
            <w:right w:w="108" w:type="dxa"/>
          </w:tblCellMar>
        </w:tblPrEx>
        <w:trPr>
          <w:trHeight w:val="517" w:hRule="atLeast"/>
        </w:trPr>
        <w:tc>
          <w:tcPr>
            <w:tcW w:w="477" w:type="dxa"/>
            <w:vMerge w:val="restart"/>
            <w:tcBorders>
              <w:top w:val="single" w:color="auto" w:sz="4" w:space="0"/>
              <w:left w:val="single" w:color="auto" w:sz="4" w:space="0"/>
              <w:right w:val="single" w:color="auto" w:sz="4" w:space="0"/>
            </w:tcBorders>
            <w:vAlign w:val="center"/>
          </w:tcPr>
          <w:p w14:paraId="4E7E6171">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1</w:t>
            </w:r>
          </w:p>
        </w:tc>
        <w:tc>
          <w:tcPr>
            <w:tcW w:w="1470" w:type="dxa"/>
            <w:vMerge w:val="restart"/>
            <w:tcBorders>
              <w:top w:val="single" w:color="auto" w:sz="4" w:space="0"/>
              <w:left w:val="single" w:color="auto" w:sz="4" w:space="0"/>
              <w:right w:val="single" w:color="auto" w:sz="4" w:space="0"/>
            </w:tcBorders>
            <w:vAlign w:val="center"/>
          </w:tcPr>
          <w:p w14:paraId="4E7E6172">
            <w:pPr>
              <w:tabs>
                <w:tab w:val="left" w:pos="2410"/>
              </w:tabs>
              <w:spacing w:line="360" w:lineRule="auto"/>
              <w:jc w:val="center"/>
              <w:rPr>
                <w:rFonts w:ascii="宋体" w:cs="宋体"/>
                <w:color w:val="auto"/>
                <w:sz w:val="24"/>
                <w:highlight w:val="none"/>
              </w:rPr>
            </w:pPr>
            <w:r>
              <w:rPr>
                <w:rFonts w:hint="eastAsia" w:ascii="宋体" w:cs="宋体"/>
                <w:color w:val="auto"/>
                <w:sz w:val="24"/>
                <w:highlight w:val="none"/>
              </w:rPr>
              <w:t>管理费</w:t>
            </w:r>
          </w:p>
        </w:tc>
        <w:tc>
          <w:tcPr>
            <w:tcW w:w="2410" w:type="dxa"/>
            <w:tcBorders>
              <w:top w:val="single" w:color="auto" w:sz="4" w:space="0"/>
              <w:left w:val="single" w:color="auto" w:sz="4" w:space="0"/>
              <w:bottom w:val="single" w:color="auto" w:sz="4" w:space="0"/>
              <w:right w:val="single" w:color="auto" w:sz="4" w:space="0"/>
            </w:tcBorders>
            <w:vAlign w:val="center"/>
          </w:tcPr>
          <w:p w14:paraId="4E7E6173">
            <w:pPr>
              <w:tabs>
                <w:tab w:val="left" w:pos="2410"/>
              </w:tabs>
              <w:spacing w:line="360" w:lineRule="auto"/>
              <w:jc w:val="center"/>
              <w:rPr>
                <w:rFonts w:ascii="宋体" w:cs="宋体"/>
                <w:color w:val="auto"/>
                <w:sz w:val="24"/>
                <w:highlight w:val="none"/>
              </w:rPr>
            </w:pPr>
            <w:r>
              <w:rPr>
                <w:rFonts w:hint="eastAsia" w:ascii="宋体" w:cs="宋体"/>
                <w:color w:val="auto"/>
                <w:sz w:val="24"/>
                <w:highlight w:val="none"/>
              </w:rPr>
              <w:t>人工费+机械费</w:t>
            </w:r>
          </w:p>
        </w:tc>
        <w:tc>
          <w:tcPr>
            <w:tcW w:w="824" w:type="dxa"/>
            <w:tcBorders>
              <w:top w:val="single" w:color="auto" w:sz="4" w:space="0"/>
              <w:left w:val="single" w:color="auto" w:sz="4" w:space="0"/>
              <w:bottom w:val="single" w:color="auto" w:sz="4" w:space="0"/>
              <w:right w:val="single" w:color="auto" w:sz="4" w:space="0"/>
            </w:tcBorders>
            <w:vAlign w:val="center"/>
          </w:tcPr>
          <w:p w14:paraId="4E7E6174">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26</w:t>
            </w:r>
          </w:p>
        </w:tc>
        <w:tc>
          <w:tcPr>
            <w:tcW w:w="850" w:type="dxa"/>
            <w:tcBorders>
              <w:top w:val="single" w:color="auto" w:sz="4" w:space="0"/>
              <w:left w:val="single" w:color="auto" w:sz="4" w:space="0"/>
              <w:bottom w:val="single" w:color="auto" w:sz="4" w:space="0"/>
              <w:right w:val="single" w:color="auto" w:sz="4" w:space="0"/>
            </w:tcBorders>
            <w:vAlign w:val="center"/>
          </w:tcPr>
          <w:p w14:paraId="4E7E6175">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23.5</w:t>
            </w:r>
          </w:p>
        </w:tc>
        <w:tc>
          <w:tcPr>
            <w:tcW w:w="851" w:type="dxa"/>
            <w:tcBorders>
              <w:top w:val="single" w:color="auto" w:sz="4" w:space="0"/>
              <w:left w:val="single" w:color="auto" w:sz="4" w:space="0"/>
              <w:bottom w:val="single" w:color="auto" w:sz="4" w:space="0"/>
              <w:right w:val="single" w:color="auto" w:sz="4" w:space="0"/>
            </w:tcBorders>
            <w:vAlign w:val="center"/>
          </w:tcPr>
          <w:p w14:paraId="4E7E6176">
            <w:pPr>
              <w:tabs>
                <w:tab w:val="left" w:pos="2410"/>
              </w:tabs>
              <w:spacing w:line="360" w:lineRule="auto"/>
              <w:jc w:val="center"/>
              <w:rPr>
                <w:bCs/>
                <w:color w:val="auto"/>
                <w:highlight w:val="none"/>
              </w:rPr>
            </w:pPr>
            <w:r>
              <w:rPr>
                <w:rFonts w:hint="eastAsia" w:ascii="宋体" w:hAnsi="宋体" w:cs="宋体"/>
                <w:bCs/>
                <w:color w:val="auto"/>
                <w:szCs w:val="21"/>
                <w:highlight w:val="none"/>
                <w:lang w:bidi="ar"/>
              </w:rPr>
              <w:t>26</w:t>
            </w:r>
          </w:p>
        </w:tc>
        <w:tc>
          <w:tcPr>
            <w:tcW w:w="850" w:type="dxa"/>
            <w:tcBorders>
              <w:top w:val="single" w:color="auto" w:sz="4" w:space="0"/>
              <w:left w:val="single" w:color="auto" w:sz="4" w:space="0"/>
              <w:bottom w:val="single" w:color="auto" w:sz="4" w:space="0"/>
              <w:right w:val="single" w:color="auto" w:sz="4" w:space="0"/>
            </w:tcBorders>
            <w:vAlign w:val="center"/>
          </w:tcPr>
          <w:p w14:paraId="4E7E6177">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21</w:t>
            </w:r>
          </w:p>
        </w:tc>
        <w:tc>
          <w:tcPr>
            <w:tcW w:w="850" w:type="dxa"/>
            <w:tcBorders>
              <w:top w:val="single" w:color="auto" w:sz="4" w:space="0"/>
              <w:left w:val="single" w:color="auto" w:sz="4" w:space="0"/>
              <w:bottom w:val="single" w:color="auto" w:sz="4" w:space="0"/>
              <w:right w:val="single" w:color="auto" w:sz="4" w:space="0"/>
            </w:tcBorders>
            <w:vAlign w:val="center"/>
          </w:tcPr>
          <w:p w14:paraId="4E7E6178">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1" w:type="dxa"/>
            <w:tcBorders>
              <w:top w:val="single" w:color="auto" w:sz="4" w:space="0"/>
              <w:left w:val="single" w:color="auto" w:sz="4" w:space="0"/>
              <w:bottom w:val="single" w:color="auto" w:sz="4" w:space="0"/>
              <w:right w:val="single" w:color="auto" w:sz="4" w:space="0"/>
            </w:tcBorders>
            <w:vAlign w:val="center"/>
          </w:tcPr>
          <w:p w14:paraId="4E7E6179">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32.5</w:t>
            </w:r>
          </w:p>
        </w:tc>
      </w:tr>
      <w:tr w14:paraId="4E7E6184">
        <w:tblPrEx>
          <w:tblCellMar>
            <w:top w:w="0" w:type="dxa"/>
            <w:left w:w="108" w:type="dxa"/>
            <w:bottom w:w="0" w:type="dxa"/>
            <w:right w:w="108" w:type="dxa"/>
          </w:tblCellMar>
        </w:tblPrEx>
        <w:trPr>
          <w:trHeight w:val="517" w:hRule="atLeast"/>
        </w:trPr>
        <w:tc>
          <w:tcPr>
            <w:tcW w:w="477" w:type="dxa"/>
            <w:vMerge w:val="continue"/>
            <w:tcBorders>
              <w:left w:val="single" w:color="auto" w:sz="4" w:space="0"/>
              <w:right w:val="single" w:color="auto" w:sz="4" w:space="0"/>
            </w:tcBorders>
            <w:vAlign w:val="center"/>
          </w:tcPr>
          <w:p w14:paraId="4E7E617B">
            <w:pPr>
              <w:tabs>
                <w:tab w:val="left" w:pos="2410"/>
              </w:tabs>
              <w:spacing w:line="360" w:lineRule="auto"/>
              <w:jc w:val="center"/>
              <w:rPr>
                <w:rFonts w:ascii="宋体" w:hAnsi="宋体" w:cs="宋体"/>
                <w:b/>
                <w:color w:val="auto"/>
                <w:szCs w:val="21"/>
                <w:highlight w:val="none"/>
                <w:lang w:bidi="ar"/>
              </w:rPr>
            </w:pPr>
          </w:p>
        </w:tc>
        <w:tc>
          <w:tcPr>
            <w:tcW w:w="1470" w:type="dxa"/>
            <w:vMerge w:val="continue"/>
            <w:tcBorders>
              <w:left w:val="single" w:color="auto" w:sz="4" w:space="0"/>
              <w:right w:val="single" w:color="auto" w:sz="4" w:space="0"/>
            </w:tcBorders>
            <w:vAlign w:val="center"/>
          </w:tcPr>
          <w:p w14:paraId="4E7E617C">
            <w:pPr>
              <w:tabs>
                <w:tab w:val="left" w:pos="2410"/>
              </w:tabs>
              <w:spacing w:line="360" w:lineRule="auto"/>
              <w:jc w:val="center"/>
              <w:rPr>
                <w:rFonts w:ascii="宋体" w:cs="宋体"/>
                <w:color w:val="auto"/>
                <w:sz w:val="24"/>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4E7E617D">
            <w:pPr>
              <w:tabs>
                <w:tab w:val="left" w:pos="2410"/>
              </w:tabs>
              <w:spacing w:line="360" w:lineRule="auto"/>
              <w:jc w:val="center"/>
              <w:rPr>
                <w:rFonts w:ascii="宋体" w:cs="宋体"/>
                <w:color w:val="auto"/>
                <w:sz w:val="24"/>
                <w:highlight w:val="none"/>
              </w:rPr>
            </w:pPr>
            <w:r>
              <w:rPr>
                <w:rFonts w:hint="eastAsia" w:ascii="宋体" w:cs="宋体"/>
                <w:color w:val="auto"/>
                <w:sz w:val="24"/>
                <w:highlight w:val="none"/>
              </w:rPr>
              <w:t>人工费</w:t>
            </w:r>
          </w:p>
        </w:tc>
        <w:tc>
          <w:tcPr>
            <w:tcW w:w="824" w:type="dxa"/>
            <w:tcBorders>
              <w:top w:val="single" w:color="auto" w:sz="4" w:space="0"/>
              <w:left w:val="single" w:color="auto" w:sz="4" w:space="0"/>
              <w:bottom w:val="single" w:color="auto" w:sz="4" w:space="0"/>
              <w:right w:val="single" w:color="auto" w:sz="4" w:space="0"/>
            </w:tcBorders>
            <w:vAlign w:val="center"/>
          </w:tcPr>
          <w:p w14:paraId="4E7E617E">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17F">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1" w:type="dxa"/>
            <w:tcBorders>
              <w:top w:val="single" w:color="auto" w:sz="4" w:space="0"/>
              <w:left w:val="single" w:color="auto" w:sz="4" w:space="0"/>
              <w:bottom w:val="single" w:color="auto" w:sz="4" w:space="0"/>
              <w:right w:val="single" w:color="auto" w:sz="4" w:space="0"/>
            </w:tcBorders>
            <w:vAlign w:val="center"/>
          </w:tcPr>
          <w:p w14:paraId="4E7E6180">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181">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182">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42</w:t>
            </w:r>
          </w:p>
        </w:tc>
        <w:tc>
          <w:tcPr>
            <w:tcW w:w="851" w:type="dxa"/>
            <w:tcBorders>
              <w:top w:val="single" w:color="auto" w:sz="4" w:space="0"/>
              <w:left w:val="single" w:color="auto" w:sz="4" w:space="0"/>
              <w:bottom w:val="single" w:color="auto" w:sz="4" w:space="0"/>
              <w:right w:val="single" w:color="auto" w:sz="4" w:space="0"/>
            </w:tcBorders>
            <w:vAlign w:val="center"/>
          </w:tcPr>
          <w:p w14:paraId="4E7E6183">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r>
      <w:tr w14:paraId="4E7E618E">
        <w:tblPrEx>
          <w:tblCellMar>
            <w:top w:w="0" w:type="dxa"/>
            <w:left w:w="108" w:type="dxa"/>
            <w:bottom w:w="0" w:type="dxa"/>
            <w:right w:w="108" w:type="dxa"/>
          </w:tblCellMar>
        </w:tblPrEx>
        <w:trPr>
          <w:trHeight w:val="517" w:hRule="atLeast"/>
        </w:trPr>
        <w:tc>
          <w:tcPr>
            <w:tcW w:w="477" w:type="dxa"/>
            <w:vMerge w:val="restart"/>
            <w:tcBorders>
              <w:top w:val="single" w:color="auto" w:sz="4" w:space="0"/>
              <w:left w:val="single" w:color="auto" w:sz="4" w:space="0"/>
              <w:right w:val="single" w:color="auto" w:sz="4" w:space="0"/>
            </w:tcBorders>
            <w:vAlign w:val="center"/>
          </w:tcPr>
          <w:p w14:paraId="4E7E6185">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
                <w:color w:val="auto"/>
                <w:szCs w:val="21"/>
                <w:highlight w:val="none"/>
                <w:lang w:bidi="ar"/>
              </w:rPr>
              <w:t>2</w:t>
            </w:r>
          </w:p>
        </w:tc>
        <w:tc>
          <w:tcPr>
            <w:tcW w:w="1470" w:type="dxa"/>
            <w:vMerge w:val="restart"/>
            <w:tcBorders>
              <w:top w:val="single" w:color="auto" w:sz="4" w:space="0"/>
              <w:left w:val="single" w:color="auto" w:sz="4" w:space="0"/>
              <w:right w:val="single" w:color="auto" w:sz="4" w:space="0"/>
            </w:tcBorders>
            <w:vAlign w:val="center"/>
          </w:tcPr>
          <w:p w14:paraId="4E7E6186">
            <w:pPr>
              <w:tabs>
                <w:tab w:val="left" w:pos="2410"/>
              </w:tabs>
              <w:spacing w:line="360" w:lineRule="auto"/>
              <w:jc w:val="center"/>
              <w:rPr>
                <w:rFonts w:ascii="宋体" w:cs="宋体"/>
                <w:color w:val="auto"/>
                <w:sz w:val="24"/>
                <w:highlight w:val="none"/>
              </w:rPr>
            </w:pPr>
            <w:r>
              <w:rPr>
                <w:rFonts w:hint="eastAsia" w:ascii="宋体" w:cs="宋体"/>
                <w:color w:val="auto"/>
                <w:sz w:val="24"/>
                <w:highlight w:val="none"/>
              </w:rPr>
              <w:t>利润</w:t>
            </w:r>
          </w:p>
        </w:tc>
        <w:tc>
          <w:tcPr>
            <w:tcW w:w="2410" w:type="dxa"/>
            <w:tcBorders>
              <w:top w:val="single" w:color="auto" w:sz="4" w:space="0"/>
              <w:left w:val="single" w:color="auto" w:sz="4" w:space="0"/>
              <w:bottom w:val="single" w:color="auto" w:sz="4" w:space="0"/>
              <w:right w:val="single" w:color="auto" w:sz="4" w:space="0"/>
            </w:tcBorders>
            <w:vAlign w:val="center"/>
          </w:tcPr>
          <w:p w14:paraId="4E7E6187">
            <w:pPr>
              <w:tabs>
                <w:tab w:val="left" w:pos="2410"/>
              </w:tabs>
              <w:spacing w:line="360" w:lineRule="auto"/>
              <w:jc w:val="center"/>
              <w:rPr>
                <w:rFonts w:ascii="宋体" w:cs="宋体"/>
                <w:color w:val="auto"/>
                <w:sz w:val="24"/>
                <w:highlight w:val="none"/>
              </w:rPr>
            </w:pPr>
            <w:r>
              <w:rPr>
                <w:rFonts w:hint="eastAsia" w:ascii="宋体" w:cs="宋体"/>
                <w:color w:val="auto"/>
                <w:sz w:val="24"/>
                <w:highlight w:val="none"/>
              </w:rPr>
              <w:t>人工费+机械费</w:t>
            </w:r>
          </w:p>
        </w:tc>
        <w:tc>
          <w:tcPr>
            <w:tcW w:w="824" w:type="dxa"/>
            <w:tcBorders>
              <w:top w:val="single" w:color="auto" w:sz="4" w:space="0"/>
              <w:left w:val="single" w:color="auto" w:sz="4" w:space="0"/>
              <w:bottom w:val="single" w:color="auto" w:sz="4" w:space="0"/>
              <w:right w:val="single" w:color="auto" w:sz="4" w:space="0"/>
            </w:tcBorders>
            <w:vAlign w:val="center"/>
          </w:tcPr>
          <w:p w14:paraId="4E7E6188">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11</w:t>
            </w:r>
          </w:p>
        </w:tc>
        <w:tc>
          <w:tcPr>
            <w:tcW w:w="850" w:type="dxa"/>
            <w:tcBorders>
              <w:top w:val="single" w:color="auto" w:sz="4" w:space="0"/>
              <w:left w:val="single" w:color="auto" w:sz="4" w:space="0"/>
              <w:bottom w:val="single" w:color="auto" w:sz="4" w:space="0"/>
              <w:right w:val="single" w:color="auto" w:sz="4" w:space="0"/>
            </w:tcBorders>
            <w:vAlign w:val="center"/>
          </w:tcPr>
          <w:p w14:paraId="4E7E6189">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11</w:t>
            </w:r>
          </w:p>
        </w:tc>
        <w:tc>
          <w:tcPr>
            <w:tcW w:w="851" w:type="dxa"/>
            <w:tcBorders>
              <w:top w:val="single" w:color="auto" w:sz="4" w:space="0"/>
              <w:left w:val="single" w:color="auto" w:sz="4" w:space="0"/>
              <w:bottom w:val="single" w:color="auto" w:sz="4" w:space="0"/>
              <w:right w:val="single" w:color="auto" w:sz="4" w:space="0"/>
            </w:tcBorders>
            <w:vAlign w:val="center"/>
          </w:tcPr>
          <w:p w14:paraId="4E7E618A">
            <w:pPr>
              <w:tabs>
                <w:tab w:val="left" w:pos="2410"/>
              </w:tabs>
              <w:spacing w:line="360" w:lineRule="auto"/>
              <w:jc w:val="center"/>
              <w:rPr>
                <w:bCs/>
                <w:color w:val="auto"/>
                <w:highlight w:val="none"/>
              </w:rPr>
            </w:pPr>
            <w:r>
              <w:rPr>
                <w:rFonts w:hint="eastAsia" w:ascii="宋体" w:hAnsi="宋体" w:cs="宋体"/>
                <w:bCs/>
                <w:color w:val="auto"/>
                <w:szCs w:val="21"/>
                <w:highlight w:val="none"/>
                <w:lang w:bidi="ar"/>
              </w:rPr>
              <w:t>11</w:t>
            </w:r>
          </w:p>
        </w:tc>
        <w:tc>
          <w:tcPr>
            <w:tcW w:w="850" w:type="dxa"/>
            <w:tcBorders>
              <w:top w:val="single" w:color="auto" w:sz="4" w:space="0"/>
              <w:left w:val="single" w:color="auto" w:sz="4" w:space="0"/>
              <w:bottom w:val="single" w:color="auto" w:sz="4" w:space="0"/>
              <w:right w:val="single" w:color="auto" w:sz="4" w:space="0"/>
            </w:tcBorders>
            <w:vAlign w:val="center"/>
          </w:tcPr>
          <w:p w14:paraId="4E7E618B">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0" w:type="dxa"/>
            <w:tcBorders>
              <w:top w:val="single" w:color="auto" w:sz="4" w:space="0"/>
              <w:left w:val="single" w:color="auto" w:sz="4" w:space="0"/>
              <w:bottom w:val="single" w:color="auto" w:sz="4" w:space="0"/>
              <w:right w:val="single" w:color="auto" w:sz="4" w:space="0"/>
            </w:tcBorders>
            <w:vAlign w:val="center"/>
          </w:tcPr>
          <w:p w14:paraId="4E7E618C">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1" w:type="dxa"/>
            <w:tcBorders>
              <w:top w:val="single" w:color="auto" w:sz="4" w:space="0"/>
              <w:left w:val="single" w:color="auto" w:sz="4" w:space="0"/>
              <w:bottom w:val="single" w:color="auto" w:sz="4" w:space="0"/>
              <w:right w:val="single" w:color="auto" w:sz="4" w:space="0"/>
            </w:tcBorders>
            <w:vAlign w:val="center"/>
          </w:tcPr>
          <w:p w14:paraId="4E7E618D">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11</w:t>
            </w:r>
          </w:p>
        </w:tc>
      </w:tr>
      <w:tr w14:paraId="4E7E6198">
        <w:tblPrEx>
          <w:tblCellMar>
            <w:top w:w="0" w:type="dxa"/>
            <w:left w:w="108" w:type="dxa"/>
            <w:bottom w:w="0" w:type="dxa"/>
            <w:right w:w="108" w:type="dxa"/>
          </w:tblCellMar>
        </w:tblPrEx>
        <w:trPr>
          <w:trHeight w:val="517" w:hRule="atLeast"/>
        </w:trPr>
        <w:tc>
          <w:tcPr>
            <w:tcW w:w="477" w:type="dxa"/>
            <w:vMerge w:val="continue"/>
            <w:tcBorders>
              <w:left w:val="single" w:color="auto" w:sz="4" w:space="0"/>
              <w:bottom w:val="single" w:color="auto" w:sz="4" w:space="0"/>
              <w:right w:val="single" w:color="auto" w:sz="4" w:space="0"/>
            </w:tcBorders>
            <w:vAlign w:val="center"/>
          </w:tcPr>
          <w:p w14:paraId="4E7E618F">
            <w:pPr>
              <w:tabs>
                <w:tab w:val="left" w:pos="2410"/>
              </w:tabs>
              <w:spacing w:line="360" w:lineRule="auto"/>
              <w:jc w:val="center"/>
              <w:rPr>
                <w:rFonts w:ascii="宋体" w:hAnsi="宋体" w:cs="宋体"/>
                <w:b/>
                <w:color w:val="auto"/>
                <w:szCs w:val="21"/>
                <w:highlight w:val="none"/>
                <w:lang w:bidi="ar"/>
              </w:rPr>
            </w:pPr>
          </w:p>
        </w:tc>
        <w:tc>
          <w:tcPr>
            <w:tcW w:w="1470" w:type="dxa"/>
            <w:vMerge w:val="continue"/>
            <w:tcBorders>
              <w:left w:val="single" w:color="auto" w:sz="4" w:space="0"/>
              <w:bottom w:val="single" w:color="auto" w:sz="4" w:space="0"/>
              <w:right w:val="single" w:color="auto" w:sz="4" w:space="0"/>
            </w:tcBorders>
            <w:vAlign w:val="center"/>
          </w:tcPr>
          <w:p w14:paraId="4E7E6190">
            <w:pPr>
              <w:tabs>
                <w:tab w:val="left" w:pos="2410"/>
              </w:tabs>
              <w:spacing w:line="360" w:lineRule="auto"/>
              <w:jc w:val="center"/>
              <w:rPr>
                <w:rFonts w:ascii="宋体" w:cs="宋体"/>
                <w:color w:val="auto"/>
                <w:sz w:val="24"/>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4E7E6191">
            <w:pPr>
              <w:tabs>
                <w:tab w:val="left" w:pos="2410"/>
              </w:tabs>
              <w:spacing w:line="360" w:lineRule="auto"/>
              <w:jc w:val="center"/>
              <w:rPr>
                <w:rFonts w:ascii="宋体" w:cs="宋体"/>
                <w:color w:val="auto"/>
                <w:sz w:val="24"/>
                <w:highlight w:val="none"/>
              </w:rPr>
            </w:pPr>
            <w:r>
              <w:rPr>
                <w:rFonts w:hint="eastAsia" w:ascii="宋体" w:cs="宋体"/>
                <w:color w:val="auto"/>
                <w:sz w:val="24"/>
                <w:highlight w:val="none"/>
              </w:rPr>
              <w:t>人工费</w:t>
            </w:r>
          </w:p>
        </w:tc>
        <w:tc>
          <w:tcPr>
            <w:tcW w:w="824" w:type="dxa"/>
            <w:tcBorders>
              <w:top w:val="single" w:color="auto" w:sz="4" w:space="0"/>
              <w:left w:val="single" w:color="auto" w:sz="4" w:space="0"/>
              <w:bottom w:val="single" w:color="auto" w:sz="4" w:space="0"/>
              <w:right w:val="single" w:color="auto" w:sz="4" w:space="0"/>
            </w:tcBorders>
            <w:vAlign w:val="center"/>
          </w:tcPr>
          <w:p w14:paraId="4E7E6192">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193">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1" w:type="dxa"/>
            <w:tcBorders>
              <w:top w:val="single" w:color="auto" w:sz="4" w:space="0"/>
              <w:left w:val="single" w:color="auto" w:sz="4" w:space="0"/>
              <w:bottom w:val="single" w:color="auto" w:sz="4" w:space="0"/>
              <w:right w:val="single" w:color="auto" w:sz="4" w:space="0"/>
            </w:tcBorders>
            <w:vAlign w:val="center"/>
          </w:tcPr>
          <w:p w14:paraId="4E7E6194">
            <w:pPr>
              <w:tabs>
                <w:tab w:val="left" w:pos="2410"/>
              </w:tabs>
              <w:spacing w:line="360" w:lineRule="auto"/>
              <w:jc w:val="center"/>
              <w:rPr>
                <w:bCs/>
                <w:color w:val="auto"/>
                <w:highlight w:val="none"/>
              </w:rPr>
            </w:pPr>
            <w:r>
              <w:rPr>
                <w:rFonts w:hint="eastAsia"/>
                <w:bCs/>
                <w:color w:val="auto"/>
                <w:highlight w:val="none"/>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195">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196">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13</w:t>
            </w:r>
          </w:p>
        </w:tc>
        <w:tc>
          <w:tcPr>
            <w:tcW w:w="851" w:type="dxa"/>
            <w:tcBorders>
              <w:top w:val="single" w:color="auto" w:sz="4" w:space="0"/>
              <w:left w:val="single" w:color="auto" w:sz="4" w:space="0"/>
              <w:bottom w:val="single" w:color="auto" w:sz="4" w:space="0"/>
              <w:right w:val="single" w:color="auto" w:sz="4" w:space="0"/>
            </w:tcBorders>
            <w:vAlign w:val="center"/>
          </w:tcPr>
          <w:p w14:paraId="4E7E6197">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r>
      <w:tr w14:paraId="4E7E61A2">
        <w:tblPrEx>
          <w:tblCellMar>
            <w:top w:w="0" w:type="dxa"/>
            <w:left w:w="108" w:type="dxa"/>
            <w:bottom w:w="0" w:type="dxa"/>
            <w:right w:w="108" w:type="dxa"/>
          </w:tblCellMar>
        </w:tblPrEx>
        <w:trPr>
          <w:trHeight w:val="517"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199">
            <w:pPr>
              <w:tabs>
                <w:tab w:val="left" w:pos="2410"/>
              </w:tabs>
              <w:spacing w:line="360" w:lineRule="auto"/>
              <w:jc w:val="center"/>
              <w:rPr>
                <w:rFonts w:ascii="宋体" w:hAnsi="宋体" w:cs="宋体"/>
                <w:b/>
                <w:color w:val="auto"/>
                <w:szCs w:val="21"/>
                <w:highlight w:val="none"/>
                <w:lang w:bidi="ar"/>
              </w:rPr>
            </w:pPr>
            <w:r>
              <w:rPr>
                <w:rFonts w:hint="eastAsia" w:ascii="宋体" w:hAnsi="宋体" w:cs="宋体"/>
                <w:bCs/>
                <w:color w:val="auto"/>
                <w:szCs w:val="21"/>
                <w:highlight w:val="none"/>
                <w:lang w:bidi="ar"/>
              </w:rPr>
              <w:t>3</w:t>
            </w:r>
          </w:p>
        </w:tc>
        <w:tc>
          <w:tcPr>
            <w:tcW w:w="1470" w:type="dxa"/>
            <w:tcBorders>
              <w:top w:val="single" w:color="auto" w:sz="4" w:space="0"/>
              <w:left w:val="single" w:color="auto" w:sz="4" w:space="0"/>
              <w:bottom w:val="single" w:color="auto" w:sz="4" w:space="0"/>
              <w:right w:val="single" w:color="auto" w:sz="4" w:space="0"/>
            </w:tcBorders>
            <w:vAlign w:val="center"/>
          </w:tcPr>
          <w:p w14:paraId="4E7E619A">
            <w:pPr>
              <w:tabs>
                <w:tab w:val="left" w:pos="2410"/>
              </w:tabs>
              <w:spacing w:line="360" w:lineRule="auto"/>
              <w:jc w:val="center"/>
              <w:rPr>
                <w:rFonts w:ascii="宋体" w:hAnsi="宋体" w:cs="宋体"/>
                <w:b/>
                <w:color w:val="auto"/>
                <w:szCs w:val="21"/>
                <w:highlight w:val="none"/>
                <w:lang w:bidi="ar"/>
              </w:rPr>
            </w:pPr>
            <w:r>
              <w:rPr>
                <w:rFonts w:hint="eastAsia" w:ascii="宋体" w:cs="宋体"/>
                <w:color w:val="auto"/>
                <w:sz w:val="24"/>
                <w:highlight w:val="none"/>
              </w:rPr>
              <w:t>安全生产措施费费率</w:t>
            </w:r>
          </w:p>
        </w:tc>
        <w:tc>
          <w:tcPr>
            <w:tcW w:w="2410" w:type="dxa"/>
            <w:tcBorders>
              <w:top w:val="single" w:color="auto" w:sz="4" w:space="0"/>
              <w:left w:val="single" w:color="auto" w:sz="4" w:space="0"/>
              <w:bottom w:val="single" w:color="auto" w:sz="4" w:space="0"/>
              <w:right w:val="single" w:color="auto" w:sz="4" w:space="0"/>
            </w:tcBorders>
            <w:vAlign w:val="center"/>
          </w:tcPr>
          <w:p w14:paraId="4E7E619B">
            <w:pPr>
              <w:tabs>
                <w:tab w:val="left" w:pos="2410"/>
              </w:tabs>
              <w:spacing w:line="360" w:lineRule="auto"/>
              <w:jc w:val="center"/>
              <w:rPr>
                <w:rFonts w:ascii="宋体" w:hAnsi="宋体" w:cs="宋体"/>
                <w:b/>
                <w:color w:val="auto"/>
                <w:szCs w:val="21"/>
                <w:highlight w:val="none"/>
                <w:lang w:bidi="ar"/>
              </w:rPr>
            </w:pPr>
            <w:r>
              <w:rPr>
                <w:rFonts w:hint="eastAsia" w:ascii="宋体" w:cs="宋体"/>
                <w:color w:val="auto"/>
                <w:sz w:val="24"/>
                <w:highlight w:val="none"/>
              </w:rPr>
              <w:t>分部分项工程费-除税工程设备费</w:t>
            </w:r>
          </w:p>
        </w:tc>
        <w:tc>
          <w:tcPr>
            <w:tcW w:w="824" w:type="dxa"/>
            <w:tcBorders>
              <w:top w:val="single" w:color="auto" w:sz="4" w:space="0"/>
              <w:left w:val="single" w:color="auto" w:sz="4" w:space="0"/>
              <w:bottom w:val="single" w:color="auto" w:sz="4" w:space="0"/>
              <w:right w:val="single" w:color="auto" w:sz="4" w:space="0"/>
            </w:tcBorders>
            <w:vAlign w:val="center"/>
          </w:tcPr>
          <w:p w14:paraId="4E7E619C">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3.8</w:t>
            </w:r>
          </w:p>
        </w:tc>
        <w:tc>
          <w:tcPr>
            <w:tcW w:w="850" w:type="dxa"/>
            <w:tcBorders>
              <w:top w:val="single" w:color="auto" w:sz="4" w:space="0"/>
              <w:left w:val="single" w:color="auto" w:sz="4" w:space="0"/>
              <w:bottom w:val="single" w:color="auto" w:sz="4" w:space="0"/>
              <w:right w:val="single" w:color="auto" w:sz="4" w:space="0"/>
            </w:tcBorders>
            <w:vAlign w:val="center"/>
          </w:tcPr>
          <w:p w14:paraId="4E7E619D">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3.8</w:t>
            </w:r>
          </w:p>
        </w:tc>
        <w:tc>
          <w:tcPr>
            <w:tcW w:w="851" w:type="dxa"/>
            <w:tcBorders>
              <w:top w:val="single" w:color="auto" w:sz="4" w:space="0"/>
              <w:left w:val="single" w:color="auto" w:sz="4" w:space="0"/>
              <w:bottom w:val="single" w:color="auto" w:sz="4" w:space="0"/>
              <w:right w:val="single" w:color="auto" w:sz="4" w:space="0"/>
            </w:tcBorders>
            <w:vAlign w:val="center"/>
          </w:tcPr>
          <w:p w14:paraId="4E7E619E">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3.8</w:t>
            </w:r>
          </w:p>
        </w:tc>
        <w:tc>
          <w:tcPr>
            <w:tcW w:w="850" w:type="dxa"/>
            <w:tcBorders>
              <w:top w:val="single" w:color="auto" w:sz="4" w:space="0"/>
              <w:left w:val="single" w:color="auto" w:sz="4" w:space="0"/>
              <w:bottom w:val="single" w:color="auto" w:sz="4" w:space="0"/>
              <w:right w:val="single" w:color="auto" w:sz="4" w:space="0"/>
            </w:tcBorders>
            <w:vAlign w:val="center"/>
          </w:tcPr>
          <w:p w14:paraId="4E7E619F">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1.9</w:t>
            </w:r>
          </w:p>
        </w:tc>
        <w:tc>
          <w:tcPr>
            <w:tcW w:w="850" w:type="dxa"/>
            <w:tcBorders>
              <w:top w:val="single" w:color="auto" w:sz="4" w:space="0"/>
              <w:left w:val="single" w:color="auto" w:sz="4" w:space="0"/>
              <w:bottom w:val="single" w:color="auto" w:sz="4" w:space="0"/>
              <w:right w:val="single" w:color="auto" w:sz="4" w:space="0"/>
            </w:tcBorders>
            <w:vAlign w:val="center"/>
          </w:tcPr>
          <w:p w14:paraId="4E7E61A0">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2.9</w:t>
            </w:r>
          </w:p>
        </w:tc>
        <w:tc>
          <w:tcPr>
            <w:tcW w:w="851" w:type="dxa"/>
            <w:tcBorders>
              <w:top w:val="single" w:color="auto" w:sz="4" w:space="0"/>
              <w:left w:val="single" w:color="auto" w:sz="4" w:space="0"/>
              <w:bottom w:val="single" w:color="auto" w:sz="4" w:space="0"/>
              <w:right w:val="single" w:color="auto" w:sz="4" w:space="0"/>
            </w:tcBorders>
            <w:vAlign w:val="center"/>
          </w:tcPr>
          <w:p w14:paraId="4E7E61A1">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3.8</w:t>
            </w:r>
          </w:p>
        </w:tc>
      </w:tr>
      <w:tr w14:paraId="4E7E61AC">
        <w:tblPrEx>
          <w:tblCellMar>
            <w:top w:w="0" w:type="dxa"/>
            <w:left w:w="108" w:type="dxa"/>
            <w:bottom w:w="0" w:type="dxa"/>
            <w:right w:w="108" w:type="dxa"/>
          </w:tblCellMar>
        </w:tblPrEx>
        <w:trPr>
          <w:trHeight w:val="495"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1A3">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4</w:t>
            </w:r>
          </w:p>
        </w:tc>
        <w:tc>
          <w:tcPr>
            <w:tcW w:w="1470" w:type="dxa"/>
            <w:tcBorders>
              <w:top w:val="single" w:color="auto" w:sz="4" w:space="0"/>
              <w:left w:val="single" w:color="auto" w:sz="4" w:space="0"/>
              <w:bottom w:val="single" w:color="auto" w:sz="4" w:space="0"/>
              <w:right w:val="single" w:color="auto" w:sz="4" w:space="0"/>
            </w:tcBorders>
            <w:vAlign w:val="center"/>
          </w:tcPr>
          <w:p w14:paraId="4E7E61A4">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增值税税率</w:t>
            </w:r>
          </w:p>
        </w:tc>
        <w:tc>
          <w:tcPr>
            <w:tcW w:w="2410" w:type="dxa"/>
            <w:tcBorders>
              <w:top w:val="single" w:color="auto" w:sz="4" w:space="0"/>
              <w:left w:val="single" w:color="auto" w:sz="4" w:space="0"/>
              <w:bottom w:val="single" w:color="auto" w:sz="4" w:space="0"/>
              <w:right w:val="single" w:color="auto" w:sz="4" w:space="0"/>
            </w:tcBorders>
            <w:vAlign w:val="center"/>
          </w:tcPr>
          <w:p w14:paraId="4E7E61A5">
            <w:pPr>
              <w:tabs>
                <w:tab w:val="left" w:pos="2410"/>
              </w:tabs>
              <w:spacing w:line="360" w:lineRule="auto"/>
              <w:jc w:val="center"/>
              <w:rPr>
                <w:rFonts w:ascii="宋体" w:hAnsi="宋体" w:cs="宋体"/>
                <w:b/>
                <w:color w:val="auto"/>
                <w:szCs w:val="21"/>
                <w:highlight w:val="none"/>
                <w:lang w:bidi="ar"/>
              </w:rPr>
            </w:pPr>
            <w:r>
              <w:rPr>
                <w:rFonts w:hint="eastAsia" w:ascii="宋体" w:cs="宋体"/>
                <w:color w:val="auto"/>
                <w:sz w:val="24"/>
                <w:highlight w:val="none"/>
              </w:rPr>
              <w:t>分部分项工程费+措施项目费+其他项目费-除税甲供材料和甲供设备费-专业工程暂估价</w:t>
            </w:r>
          </w:p>
        </w:tc>
        <w:tc>
          <w:tcPr>
            <w:tcW w:w="824" w:type="dxa"/>
            <w:tcBorders>
              <w:top w:val="single" w:color="auto" w:sz="4" w:space="0"/>
              <w:left w:val="single" w:color="auto" w:sz="4" w:space="0"/>
              <w:bottom w:val="single" w:color="auto" w:sz="4" w:space="0"/>
              <w:right w:val="single" w:color="auto" w:sz="4" w:space="0"/>
            </w:tcBorders>
            <w:vAlign w:val="center"/>
          </w:tcPr>
          <w:p w14:paraId="4E7E61A6">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0" w:type="dxa"/>
            <w:tcBorders>
              <w:top w:val="single" w:color="auto" w:sz="4" w:space="0"/>
              <w:left w:val="single" w:color="auto" w:sz="4" w:space="0"/>
              <w:bottom w:val="single" w:color="auto" w:sz="4" w:space="0"/>
              <w:right w:val="single" w:color="auto" w:sz="4" w:space="0"/>
            </w:tcBorders>
            <w:vAlign w:val="center"/>
          </w:tcPr>
          <w:p w14:paraId="4E7E61A7">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1" w:type="dxa"/>
            <w:tcBorders>
              <w:top w:val="single" w:color="auto" w:sz="4" w:space="0"/>
              <w:left w:val="single" w:color="auto" w:sz="4" w:space="0"/>
              <w:bottom w:val="single" w:color="auto" w:sz="4" w:space="0"/>
              <w:right w:val="single" w:color="auto" w:sz="4" w:space="0"/>
            </w:tcBorders>
            <w:vAlign w:val="center"/>
          </w:tcPr>
          <w:p w14:paraId="4E7E61A8">
            <w:pPr>
              <w:tabs>
                <w:tab w:val="left" w:pos="2410"/>
              </w:tabs>
              <w:spacing w:line="360" w:lineRule="auto"/>
              <w:jc w:val="center"/>
              <w:rPr>
                <w:bCs/>
                <w:color w:val="auto"/>
                <w:highlight w:val="none"/>
              </w:rPr>
            </w:pPr>
            <w:r>
              <w:rPr>
                <w:rFonts w:hint="eastAsia"/>
                <w:bCs/>
                <w:color w:val="auto"/>
                <w:highlight w:val="none"/>
              </w:rPr>
              <w:t>9</w:t>
            </w:r>
          </w:p>
        </w:tc>
        <w:tc>
          <w:tcPr>
            <w:tcW w:w="850" w:type="dxa"/>
            <w:tcBorders>
              <w:top w:val="single" w:color="auto" w:sz="4" w:space="0"/>
              <w:left w:val="single" w:color="auto" w:sz="4" w:space="0"/>
              <w:bottom w:val="single" w:color="auto" w:sz="4" w:space="0"/>
              <w:right w:val="single" w:color="auto" w:sz="4" w:space="0"/>
            </w:tcBorders>
            <w:vAlign w:val="center"/>
          </w:tcPr>
          <w:p w14:paraId="4E7E61A9">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0" w:type="dxa"/>
            <w:tcBorders>
              <w:top w:val="single" w:color="auto" w:sz="4" w:space="0"/>
              <w:left w:val="single" w:color="auto" w:sz="4" w:space="0"/>
              <w:bottom w:val="single" w:color="auto" w:sz="4" w:space="0"/>
              <w:right w:val="single" w:color="auto" w:sz="4" w:space="0"/>
            </w:tcBorders>
            <w:vAlign w:val="center"/>
          </w:tcPr>
          <w:p w14:paraId="4E7E61AA">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1" w:type="dxa"/>
            <w:tcBorders>
              <w:top w:val="single" w:color="auto" w:sz="4" w:space="0"/>
              <w:left w:val="single" w:color="auto" w:sz="4" w:space="0"/>
              <w:bottom w:val="single" w:color="auto" w:sz="4" w:space="0"/>
              <w:right w:val="single" w:color="auto" w:sz="4" w:space="0"/>
            </w:tcBorders>
            <w:vAlign w:val="center"/>
          </w:tcPr>
          <w:p w14:paraId="4E7E61AB">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r>
      <w:tr w14:paraId="4E7E61B6">
        <w:tblPrEx>
          <w:tblCellMar>
            <w:top w:w="0" w:type="dxa"/>
            <w:left w:w="108" w:type="dxa"/>
            <w:bottom w:w="0" w:type="dxa"/>
            <w:right w:w="108" w:type="dxa"/>
          </w:tblCellMar>
        </w:tblPrEx>
        <w:trPr>
          <w:trHeight w:val="495"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1AD">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5</w:t>
            </w:r>
          </w:p>
        </w:tc>
        <w:tc>
          <w:tcPr>
            <w:tcW w:w="1470" w:type="dxa"/>
            <w:tcBorders>
              <w:top w:val="single" w:color="auto" w:sz="4" w:space="0"/>
              <w:left w:val="single" w:color="auto" w:sz="4" w:space="0"/>
              <w:bottom w:val="single" w:color="auto" w:sz="4" w:space="0"/>
              <w:right w:val="single" w:color="auto" w:sz="4" w:space="0"/>
            </w:tcBorders>
            <w:vAlign w:val="center"/>
          </w:tcPr>
          <w:p w14:paraId="4E7E61AE">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文明施工</w:t>
            </w:r>
          </w:p>
        </w:tc>
        <w:tc>
          <w:tcPr>
            <w:tcW w:w="2410" w:type="dxa"/>
            <w:tcBorders>
              <w:top w:val="single" w:color="auto" w:sz="4" w:space="0"/>
              <w:left w:val="single" w:color="auto" w:sz="4" w:space="0"/>
              <w:bottom w:val="single" w:color="auto" w:sz="4" w:space="0"/>
              <w:right w:val="single" w:color="auto" w:sz="4" w:space="0"/>
            </w:tcBorders>
            <w:vAlign w:val="center"/>
          </w:tcPr>
          <w:p w14:paraId="4E7E61AF">
            <w:pPr>
              <w:tabs>
                <w:tab w:val="left" w:pos="2410"/>
              </w:tabs>
              <w:spacing w:line="360" w:lineRule="auto"/>
              <w:jc w:val="center"/>
              <w:rPr>
                <w:rFonts w:ascii="宋体" w:cs="宋体"/>
                <w:color w:val="auto"/>
                <w:sz w:val="24"/>
                <w:highlight w:val="none"/>
              </w:rPr>
            </w:pPr>
            <w:r>
              <w:rPr>
                <w:rFonts w:hint="eastAsia" w:ascii="宋体" w:cs="宋体"/>
                <w:color w:val="auto"/>
                <w:sz w:val="24"/>
                <w:highlight w:val="none"/>
              </w:rPr>
              <w:t>分部分项工程费-除税工程设备费</w:t>
            </w:r>
          </w:p>
        </w:tc>
        <w:tc>
          <w:tcPr>
            <w:tcW w:w="824" w:type="dxa"/>
            <w:tcBorders>
              <w:top w:val="single" w:color="auto" w:sz="4" w:space="0"/>
              <w:left w:val="single" w:color="auto" w:sz="4" w:space="0"/>
              <w:bottom w:val="single" w:color="auto" w:sz="4" w:space="0"/>
              <w:right w:val="single" w:color="auto" w:sz="4" w:space="0"/>
            </w:tcBorders>
            <w:vAlign w:val="center"/>
          </w:tcPr>
          <w:p w14:paraId="4E7E61B0">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0.6</w:t>
            </w:r>
          </w:p>
        </w:tc>
        <w:tc>
          <w:tcPr>
            <w:tcW w:w="850" w:type="dxa"/>
            <w:tcBorders>
              <w:top w:val="single" w:color="auto" w:sz="4" w:space="0"/>
              <w:left w:val="single" w:color="auto" w:sz="4" w:space="0"/>
              <w:bottom w:val="single" w:color="auto" w:sz="4" w:space="0"/>
              <w:right w:val="single" w:color="auto" w:sz="4" w:space="0"/>
            </w:tcBorders>
            <w:vAlign w:val="center"/>
          </w:tcPr>
          <w:p w14:paraId="4E7E61B1">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0.6</w:t>
            </w:r>
          </w:p>
        </w:tc>
        <w:tc>
          <w:tcPr>
            <w:tcW w:w="851" w:type="dxa"/>
            <w:tcBorders>
              <w:top w:val="single" w:color="auto" w:sz="4" w:space="0"/>
              <w:left w:val="single" w:color="auto" w:sz="4" w:space="0"/>
              <w:bottom w:val="single" w:color="auto" w:sz="4" w:space="0"/>
              <w:right w:val="single" w:color="auto" w:sz="4" w:space="0"/>
            </w:tcBorders>
            <w:vAlign w:val="center"/>
          </w:tcPr>
          <w:p w14:paraId="4E7E61B2">
            <w:pPr>
              <w:tabs>
                <w:tab w:val="left" w:pos="2410"/>
              </w:tabs>
              <w:spacing w:line="360" w:lineRule="auto"/>
              <w:jc w:val="center"/>
              <w:rPr>
                <w:bCs/>
                <w:color w:val="auto"/>
                <w:highlight w:val="none"/>
              </w:rPr>
            </w:pPr>
            <w:r>
              <w:rPr>
                <w:rFonts w:hint="eastAsia"/>
                <w:bCs/>
                <w:color w:val="auto"/>
                <w:highlight w:val="none"/>
              </w:rPr>
              <w:t>0.6</w:t>
            </w:r>
          </w:p>
        </w:tc>
        <w:tc>
          <w:tcPr>
            <w:tcW w:w="850" w:type="dxa"/>
            <w:tcBorders>
              <w:top w:val="single" w:color="auto" w:sz="4" w:space="0"/>
              <w:left w:val="single" w:color="auto" w:sz="4" w:space="0"/>
              <w:bottom w:val="single" w:color="auto" w:sz="4" w:space="0"/>
              <w:right w:val="single" w:color="auto" w:sz="4" w:space="0"/>
            </w:tcBorders>
            <w:vAlign w:val="center"/>
          </w:tcPr>
          <w:p w14:paraId="4E7E61B3">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0.9</w:t>
            </w:r>
          </w:p>
        </w:tc>
        <w:tc>
          <w:tcPr>
            <w:tcW w:w="850" w:type="dxa"/>
            <w:tcBorders>
              <w:top w:val="single" w:color="auto" w:sz="4" w:space="0"/>
              <w:left w:val="single" w:color="auto" w:sz="4" w:space="0"/>
              <w:bottom w:val="single" w:color="auto" w:sz="4" w:space="0"/>
              <w:right w:val="single" w:color="auto" w:sz="4" w:space="0"/>
            </w:tcBorders>
            <w:vAlign w:val="center"/>
          </w:tcPr>
          <w:p w14:paraId="4E7E61B4">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0.5</w:t>
            </w:r>
          </w:p>
        </w:tc>
        <w:tc>
          <w:tcPr>
            <w:tcW w:w="851" w:type="dxa"/>
            <w:tcBorders>
              <w:top w:val="single" w:color="auto" w:sz="4" w:space="0"/>
              <w:left w:val="single" w:color="auto" w:sz="4" w:space="0"/>
              <w:bottom w:val="single" w:color="auto" w:sz="4" w:space="0"/>
              <w:right w:val="single" w:color="auto" w:sz="4" w:space="0"/>
            </w:tcBorders>
            <w:vAlign w:val="center"/>
          </w:tcPr>
          <w:p w14:paraId="4E7E61B5">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0.6</w:t>
            </w:r>
          </w:p>
        </w:tc>
      </w:tr>
      <w:tr w14:paraId="4E7E61C0">
        <w:tblPrEx>
          <w:tblCellMar>
            <w:top w:w="0" w:type="dxa"/>
            <w:left w:w="108" w:type="dxa"/>
            <w:bottom w:w="0" w:type="dxa"/>
            <w:right w:w="108" w:type="dxa"/>
          </w:tblCellMar>
        </w:tblPrEx>
        <w:trPr>
          <w:trHeight w:val="495"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1B7">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6</w:t>
            </w:r>
          </w:p>
        </w:tc>
        <w:tc>
          <w:tcPr>
            <w:tcW w:w="1470" w:type="dxa"/>
            <w:tcBorders>
              <w:top w:val="single" w:color="auto" w:sz="4" w:space="0"/>
              <w:left w:val="single" w:color="auto" w:sz="4" w:space="0"/>
              <w:bottom w:val="single" w:color="auto" w:sz="4" w:space="0"/>
              <w:right w:val="single" w:color="auto" w:sz="4" w:space="0"/>
            </w:tcBorders>
            <w:vAlign w:val="center"/>
          </w:tcPr>
          <w:p w14:paraId="4E7E61B8">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环境保护</w:t>
            </w:r>
          </w:p>
        </w:tc>
        <w:tc>
          <w:tcPr>
            <w:tcW w:w="2410" w:type="dxa"/>
            <w:tcBorders>
              <w:top w:val="single" w:color="auto" w:sz="4" w:space="0"/>
              <w:left w:val="single" w:color="auto" w:sz="4" w:space="0"/>
              <w:bottom w:val="single" w:color="auto" w:sz="4" w:space="0"/>
              <w:right w:val="single" w:color="auto" w:sz="4" w:space="0"/>
            </w:tcBorders>
            <w:vAlign w:val="center"/>
          </w:tcPr>
          <w:p w14:paraId="4E7E61B9">
            <w:pPr>
              <w:tabs>
                <w:tab w:val="left" w:pos="2410"/>
              </w:tabs>
              <w:spacing w:line="360" w:lineRule="auto"/>
              <w:jc w:val="center"/>
              <w:rPr>
                <w:rFonts w:ascii="宋体" w:cs="宋体"/>
                <w:color w:val="auto"/>
                <w:sz w:val="24"/>
                <w:highlight w:val="none"/>
              </w:rPr>
            </w:pPr>
            <w:r>
              <w:rPr>
                <w:rFonts w:hint="eastAsia" w:ascii="宋体" w:cs="宋体"/>
                <w:color w:val="auto"/>
                <w:sz w:val="24"/>
                <w:highlight w:val="none"/>
              </w:rPr>
              <w:t>分部分项工程费-除税工程设备费</w:t>
            </w:r>
          </w:p>
        </w:tc>
        <w:tc>
          <w:tcPr>
            <w:tcW w:w="824" w:type="dxa"/>
            <w:tcBorders>
              <w:top w:val="single" w:color="auto" w:sz="4" w:space="0"/>
              <w:left w:val="single" w:color="auto" w:sz="4" w:space="0"/>
              <w:bottom w:val="single" w:color="auto" w:sz="4" w:space="0"/>
              <w:right w:val="single" w:color="auto" w:sz="4" w:space="0"/>
            </w:tcBorders>
            <w:vAlign w:val="center"/>
          </w:tcPr>
          <w:p w14:paraId="4E7E61BA">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0.3</w:t>
            </w:r>
          </w:p>
        </w:tc>
        <w:tc>
          <w:tcPr>
            <w:tcW w:w="850" w:type="dxa"/>
            <w:tcBorders>
              <w:top w:val="single" w:color="auto" w:sz="4" w:space="0"/>
              <w:left w:val="single" w:color="auto" w:sz="4" w:space="0"/>
              <w:bottom w:val="single" w:color="auto" w:sz="4" w:space="0"/>
              <w:right w:val="single" w:color="auto" w:sz="4" w:space="0"/>
            </w:tcBorders>
            <w:vAlign w:val="center"/>
          </w:tcPr>
          <w:p w14:paraId="4E7E61BB">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0.3</w:t>
            </w:r>
          </w:p>
        </w:tc>
        <w:tc>
          <w:tcPr>
            <w:tcW w:w="851" w:type="dxa"/>
            <w:tcBorders>
              <w:top w:val="single" w:color="auto" w:sz="4" w:space="0"/>
              <w:left w:val="single" w:color="auto" w:sz="4" w:space="0"/>
              <w:bottom w:val="single" w:color="auto" w:sz="4" w:space="0"/>
              <w:right w:val="single" w:color="auto" w:sz="4" w:space="0"/>
            </w:tcBorders>
            <w:vAlign w:val="center"/>
          </w:tcPr>
          <w:p w14:paraId="4E7E61BC">
            <w:pPr>
              <w:tabs>
                <w:tab w:val="left" w:pos="2410"/>
              </w:tabs>
              <w:spacing w:line="360" w:lineRule="auto"/>
              <w:jc w:val="center"/>
              <w:rPr>
                <w:bCs/>
                <w:color w:val="auto"/>
                <w:highlight w:val="none"/>
              </w:rPr>
            </w:pPr>
            <w:r>
              <w:rPr>
                <w:rFonts w:hint="eastAsia"/>
                <w:bCs/>
                <w:color w:val="auto"/>
                <w:highlight w:val="none"/>
              </w:rPr>
              <w:t>0.3</w:t>
            </w:r>
          </w:p>
        </w:tc>
        <w:tc>
          <w:tcPr>
            <w:tcW w:w="850" w:type="dxa"/>
            <w:tcBorders>
              <w:top w:val="single" w:color="auto" w:sz="4" w:space="0"/>
              <w:left w:val="single" w:color="auto" w:sz="4" w:space="0"/>
              <w:bottom w:val="single" w:color="auto" w:sz="4" w:space="0"/>
              <w:right w:val="single" w:color="auto" w:sz="4" w:space="0"/>
            </w:tcBorders>
            <w:vAlign w:val="center"/>
          </w:tcPr>
          <w:p w14:paraId="4E7E61BD">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w:t>
            </w:r>
          </w:p>
        </w:tc>
        <w:tc>
          <w:tcPr>
            <w:tcW w:w="850" w:type="dxa"/>
            <w:tcBorders>
              <w:top w:val="single" w:color="auto" w:sz="4" w:space="0"/>
              <w:left w:val="single" w:color="auto" w:sz="4" w:space="0"/>
              <w:bottom w:val="single" w:color="auto" w:sz="4" w:space="0"/>
              <w:right w:val="single" w:color="auto" w:sz="4" w:space="0"/>
            </w:tcBorders>
            <w:vAlign w:val="center"/>
          </w:tcPr>
          <w:p w14:paraId="4E7E61BE">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0.2</w:t>
            </w:r>
          </w:p>
        </w:tc>
        <w:tc>
          <w:tcPr>
            <w:tcW w:w="851" w:type="dxa"/>
            <w:tcBorders>
              <w:top w:val="single" w:color="auto" w:sz="4" w:space="0"/>
              <w:left w:val="single" w:color="auto" w:sz="4" w:space="0"/>
              <w:bottom w:val="single" w:color="auto" w:sz="4" w:space="0"/>
              <w:right w:val="single" w:color="auto" w:sz="4" w:space="0"/>
            </w:tcBorders>
            <w:vAlign w:val="center"/>
          </w:tcPr>
          <w:p w14:paraId="4E7E61BF">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0.3</w:t>
            </w:r>
          </w:p>
        </w:tc>
      </w:tr>
    </w:tbl>
    <w:p w14:paraId="4E7E61C1">
      <w:pPr>
        <w:autoSpaceDE w:val="0"/>
        <w:autoSpaceDN w:val="0"/>
        <w:adjustRightInd w:val="0"/>
        <w:spacing w:before="50" w:line="420" w:lineRule="exact"/>
        <w:ind w:firstLine="482" w:firstLineChars="200"/>
        <w:jc w:val="left"/>
        <w:rPr>
          <w:rFonts w:ascii="宋体" w:hAnsi="宋体"/>
          <w:b/>
          <w:bCs/>
          <w:color w:val="auto"/>
          <w:kern w:val="0"/>
          <w:sz w:val="24"/>
          <w:highlight w:val="none"/>
          <w:u w:val="single"/>
        </w:rPr>
      </w:pPr>
      <w:r>
        <w:rPr>
          <w:rFonts w:hint="eastAsia" w:ascii="宋体" w:hAnsi="宋体"/>
          <w:b/>
          <w:bCs/>
          <w:color w:val="auto"/>
          <w:kern w:val="0"/>
          <w:sz w:val="24"/>
          <w:highlight w:val="none"/>
          <w:u w:val="single"/>
        </w:rPr>
        <w:t>17.1.5本招标文件提供的第三章建设工程施工合同为中标后发承包双方签订的模板，招标人有权在不改变付中标下浮率、付款方式等实质性条款的情况下，对合同进行微调，投标单位投标即视同认同本条款内容，后期签订合同时不得因此提出异议。</w:t>
      </w:r>
    </w:p>
    <w:p w14:paraId="4E7E61C2">
      <w:pPr>
        <w:spacing w:line="560" w:lineRule="exact"/>
        <w:ind w:firstLine="482" w:firstLineChars="200"/>
        <w:rPr>
          <w:rFonts w:ascii="宋体" w:hAnsi="宋体" w:cs="宋体"/>
          <w:b/>
          <w:color w:val="auto"/>
          <w:sz w:val="24"/>
          <w:highlight w:val="none"/>
          <w:u w:val="single"/>
        </w:rPr>
      </w:pPr>
      <w:r>
        <w:rPr>
          <w:rFonts w:hint="eastAsia" w:ascii="宋体" w:hAnsi="宋体" w:cs="宋体"/>
          <w:b/>
          <w:color w:val="auto"/>
          <w:sz w:val="24"/>
          <w:highlight w:val="none"/>
          <w:u w:val="single"/>
        </w:rPr>
        <w:t>17.1.6单价措施项目费仅计取脚手架措施项目费、混凝土、钢筋混凝土模板及支架措施项目费、大型机械设备进出场及安拆费（根据招标人签证，并结合现场实际情况）、施工排水及排水措施费（根据招标人签证，并结合现场实际情况）。</w:t>
      </w:r>
    </w:p>
    <w:p w14:paraId="4E7E61C3">
      <w:pPr>
        <w:spacing w:line="500" w:lineRule="exact"/>
        <w:ind w:firstLine="482" w:firstLineChars="200"/>
        <w:rPr>
          <w:rFonts w:ascii="宋体" w:hAnsi="宋体"/>
          <w:b/>
          <w:color w:val="auto"/>
          <w:sz w:val="24"/>
          <w:highlight w:val="none"/>
          <w:u w:val="single"/>
        </w:rPr>
      </w:pPr>
      <w:r>
        <w:rPr>
          <w:rFonts w:hint="eastAsia" w:ascii="宋体" w:hAnsi="宋体" w:cs="宋体"/>
          <w:b/>
          <w:color w:val="auto"/>
          <w:sz w:val="24"/>
          <w:highlight w:val="none"/>
          <w:u w:val="single"/>
        </w:rPr>
        <w:t>17.1.7</w:t>
      </w:r>
      <w:r>
        <w:rPr>
          <w:rFonts w:hint="eastAsia" w:ascii="宋体" w:hAnsi="宋体"/>
          <w:b/>
          <w:color w:val="auto"/>
          <w:sz w:val="24"/>
          <w:highlight w:val="none"/>
          <w:u w:val="single"/>
        </w:rPr>
        <w:t>分工序进行已完工程量的计量，完成工程量由招标人及监理现场签证并留有影像资料，并按实际完成的合格工程量计量支付，在工程实施过程中，中标人必须收集齐全所有隐蔽项目的施工全过程影像视频资料，随结算资料一并提交。所有签证资料必须附有详细影像彩色照片，所摄照片必须有可参照性。如隐蔽项目影像资料未能反映签证、清单及其他结算资料列明的工作内容，则结算时该项内容不予认可。</w:t>
      </w:r>
    </w:p>
    <w:p w14:paraId="4E7E61C4">
      <w:pPr>
        <w:spacing w:line="500" w:lineRule="exact"/>
        <w:ind w:firstLine="482" w:firstLineChars="200"/>
        <w:rPr>
          <w:rFonts w:ascii="宋体" w:hAnsi="宋体"/>
          <w:b/>
          <w:color w:val="auto"/>
          <w:sz w:val="24"/>
          <w:highlight w:val="none"/>
          <w:u w:val="single"/>
        </w:rPr>
      </w:pPr>
      <w:r>
        <w:rPr>
          <w:rFonts w:hint="eastAsia" w:ascii="宋体" w:hAnsi="宋体"/>
          <w:b/>
          <w:color w:val="auto"/>
          <w:sz w:val="24"/>
          <w:highlight w:val="none"/>
          <w:u w:val="single"/>
        </w:rPr>
        <w:t>17.1.8工程竣工验收合格后，中标人根据结算编制依据，编制工程结算送招标人指定造价机构进行结算审核，工程审定价按中标人中标下浮率下浮后作为最终审定价。</w:t>
      </w:r>
    </w:p>
    <w:p w14:paraId="4E7E61C5">
      <w:pPr>
        <w:spacing w:line="500" w:lineRule="exact"/>
        <w:ind w:firstLine="482" w:firstLineChars="200"/>
        <w:rPr>
          <w:rFonts w:ascii="宋体" w:hAnsi="宋体"/>
          <w:b/>
          <w:color w:val="auto"/>
          <w:sz w:val="24"/>
          <w:highlight w:val="none"/>
          <w:u w:val="single"/>
        </w:rPr>
      </w:pPr>
      <w:r>
        <w:rPr>
          <w:rFonts w:hint="eastAsia" w:ascii="宋体" w:hAnsi="宋体"/>
          <w:b/>
          <w:color w:val="auto"/>
          <w:sz w:val="24"/>
          <w:highlight w:val="none"/>
          <w:u w:val="single"/>
        </w:rPr>
        <w:t>17.1.9中标人不得拒绝完成招标人在施工地点范围内变更或要求增加和减少的工程内容。</w:t>
      </w:r>
    </w:p>
    <w:p w14:paraId="4E7E61C6">
      <w:pPr>
        <w:spacing w:line="500" w:lineRule="exact"/>
        <w:ind w:firstLine="482" w:firstLineChars="200"/>
        <w:rPr>
          <w:rFonts w:ascii="宋体" w:hAnsi="宋体"/>
          <w:b/>
          <w:bCs/>
          <w:color w:val="auto"/>
          <w:kern w:val="0"/>
          <w:sz w:val="24"/>
          <w:highlight w:val="none"/>
          <w:u w:val="single"/>
        </w:rPr>
      </w:pPr>
      <w:r>
        <w:rPr>
          <w:rFonts w:hint="eastAsia" w:ascii="宋体" w:hAnsi="宋体"/>
          <w:b/>
          <w:color w:val="auto"/>
          <w:sz w:val="24"/>
          <w:highlight w:val="none"/>
          <w:u w:val="single"/>
        </w:rPr>
        <w:t>17.1.10</w:t>
      </w:r>
      <w:r>
        <w:rPr>
          <w:rFonts w:hint="eastAsia" w:ascii="宋体" w:hAnsi="宋体"/>
          <w:b/>
          <w:bCs/>
          <w:color w:val="auto"/>
          <w:kern w:val="0"/>
          <w:sz w:val="24"/>
          <w:highlight w:val="none"/>
          <w:u w:val="single"/>
        </w:rPr>
        <w:t>在施工过程中，如因中标人原因导致无法胜任本工程的施工，则除履约保证金不予退还外，结算时已完合格工程按60%计算，还应承担赔偿招标人损失的责任。</w:t>
      </w:r>
    </w:p>
    <w:p w14:paraId="4E7E61C7">
      <w:pPr>
        <w:autoSpaceDE w:val="0"/>
        <w:autoSpaceDN w:val="0"/>
        <w:adjustRightInd w:val="0"/>
        <w:spacing w:before="50" w:line="420" w:lineRule="exact"/>
        <w:ind w:firstLine="482" w:firstLineChars="200"/>
        <w:jc w:val="left"/>
        <w:rPr>
          <w:rFonts w:ascii="宋体" w:hAnsi="宋体"/>
          <w:b/>
          <w:bCs/>
          <w:color w:val="auto"/>
          <w:kern w:val="0"/>
          <w:sz w:val="24"/>
          <w:highlight w:val="none"/>
          <w:u w:val="single"/>
        </w:rPr>
      </w:pPr>
      <w:r>
        <w:rPr>
          <w:rFonts w:hint="eastAsia" w:ascii="宋体" w:hAnsi="宋体"/>
          <w:b/>
          <w:color w:val="auto"/>
          <w:sz w:val="24"/>
          <w:highlight w:val="none"/>
          <w:u w:val="single"/>
        </w:rPr>
        <w:t>17.1.11</w:t>
      </w:r>
      <w:r>
        <w:rPr>
          <w:rFonts w:hint="eastAsia" w:ascii="宋体" w:hAnsi="宋体"/>
          <w:b/>
          <w:bCs/>
          <w:color w:val="auto"/>
          <w:kern w:val="0"/>
          <w:sz w:val="24"/>
          <w:highlight w:val="none"/>
          <w:u w:val="single"/>
        </w:rPr>
        <w:t>如中标人在履行合同时，出现无法胜任施工内容、工程质量差、服务差等情况时，招标人有权终止合同，并不续签下一年度合同。</w:t>
      </w:r>
    </w:p>
    <w:p w14:paraId="4E7E61C8">
      <w:pPr>
        <w:autoSpaceDE w:val="0"/>
        <w:autoSpaceDN w:val="0"/>
        <w:adjustRightInd w:val="0"/>
        <w:spacing w:before="50" w:line="420" w:lineRule="exact"/>
        <w:ind w:firstLine="482" w:firstLineChars="200"/>
        <w:jc w:val="left"/>
        <w:rPr>
          <w:rFonts w:ascii="宋体" w:hAnsi="宋体"/>
          <w:b/>
          <w:bCs/>
          <w:color w:val="auto"/>
          <w:kern w:val="0"/>
          <w:sz w:val="24"/>
          <w:highlight w:val="none"/>
          <w:u w:val="single"/>
        </w:rPr>
      </w:pPr>
      <w:r>
        <w:rPr>
          <w:rFonts w:hint="eastAsia" w:ascii="宋体" w:hAnsi="宋体"/>
          <w:b/>
          <w:bCs/>
          <w:color w:val="auto"/>
          <w:kern w:val="0"/>
          <w:sz w:val="24"/>
          <w:highlight w:val="none"/>
          <w:u w:val="single"/>
        </w:rPr>
        <w:t>17.1.12中标人施工过程中必须服从招标人的安排。</w:t>
      </w:r>
    </w:p>
    <w:p w14:paraId="4E7E61C9">
      <w:pPr>
        <w:autoSpaceDE w:val="0"/>
        <w:autoSpaceDN w:val="0"/>
        <w:adjustRightInd w:val="0"/>
        <w:spacing w:before="50" w:line="420" w:lineRule="exact"/>
        <w:ind w:firstLine="482" w:firstLineChars="200"/>
        <w:jc w:val="left"/>
        <w:rPr>
          <w:rFonts w:ascii="宋体" w:hAnsi="宋体"/>
          <w:b/>
          <w:bCs/>
          <w:color w:val="auto"/>
          <w:kern w:val="0"/>
          <w:sz w:val="24"/>
          <w:highlight w:val="none"/>
          <w:u w:val="single"/>
        </w:rPr>
      </w:pPr>
      <w:r>
        <w:rPr>
          <w:rFonts w:hint="eastAsia" w:ascii="宋体" w:hAnsi="宋体"/>
          <w:b/>
          <w:bCs/>
          <w:color w:val="auto"/>
          <w:kern w:val="0"/>
          <w:sz w:val="24"/>
          <w:highlight w:val="none"/>
          <w:u w:val="single"/>
        </w:rPr>
        <w:t>17.1.13本工程因每个工程工期会比较紧迫，中标人须充分考虑工期并满足考核要求。</w:t>
      </w:r>
    </w:p>
    <w:p w14:paraId="4E7E61CA">
      <w:pPr>
        <w:spacing w:line="440" w:lineRule="exact"/>
        <w:ind w:firstLine="482" w:firstLineChars="200"/>
        <w:rPr>
          <w:rFonts w:ascii="宋体" w:cs="宋体"/>
          <w:b/>
          <w:bCs/>
          <w:color w:val="auto"/>
          <w:sz w:val="28"/>
          <w:szCs w:val="28"/>
          <w:highlight w:val="none"/>
        </w:rPr>
      </w:pPr>
      <w:r>
        <w:rPr>
          <w:rFonts w:hint="eastAsia" w:ascii="宋体" w:hAnsi="宋体"/>
          <w:b/>
          <w:bCs/>
          <w:color w:val="auto"/>
          <w:kern w:val="0"/>
          <w:sz w:val="24"/>
          <w:highlight w:val="none"/>
          <w:u w:val="single"/>
        </w:rPr>
        <w:t>17.1.14其他未尽事宜在书面答疑及本招标文件第三章合同条款中明确。</w:t>
      </w:r>
    </w:p>
    <w:p w14:paraId="4E7E61CB">
      <w:pPr>
        <w:jc w:val="center"/>
        <w:rPr>
          <w:rFonts w:ascii="宋体" w:cs="宋体"/>
          <w:b/>
          <w:bCs/>
          <w:color w:val="auto"/>
          <w:sz w:val="28"/>
          <w:szCs w:val="28"/>
          <w:highlight w:val="none"/>
        </w:rPr>
      </w:pPr>
    </w:p>
    <w:p w14:paraId="4E7E61CC">
      <w:pPr>
        <w:jc w:val="center"/>
        <w:rPr>
          <w:rFonts w:ascii="宋体" w:cs="宋体"/>
          <w:b/>
          <w:bCs/>
          <w:color w:val="auto"/>
          <w:sz w:val="28"/>
          <w:szCs w:val="28"/>
          <w:highlight w:val="none"/>
        </w:rPr>
      </w:pPr>
      <w:r>
        <w:rPr>
          <w:rFonts w:hint="eastAsia" w:ascii="宋体" w:cs="宋体"/>
          <w:b/>
          <w:bCs/>
          <w:color w:val="auto"/>
          <w:sz w:val="28"/>
          <w:szCs w:val="28"/>
          <w:highlight w:val="none"/>
        </w:rPr>
        <w:t>（五）投标文件的密封和递交</w:t>
      </w:r>
    </w:p>
    <w:p w14:paraId="4E7E61CD">
      <w:pPr>
        <w:spacing w:line="360" w:lineRule="auto"/>
        <w:ind w:firstLine="482" w:firstLineChars="200"/>
        <w:rPr>
          <w:rFonts w:ascii="宋体" w:cs="宋体"/>
          <w:b/>
          <w:color w:val="auto"/>
          <w:sz w:val="24"/>
          <w:highlight w:val="none"/>
        </w:rPr>
      </w:pPr>
      <w:r>
        <w:rPr>
          <w:rFonts w:hint="eastAsia" w:ascii="宋体" w:cs="宋体"/>
          <w:b/>
          <w:color w:val="auto"/>
          <w:sz w:val="24"/>
          <w:highlight w:val="none"/>
        </w:rPr>
        <w:t>18.投标文件的密封与标志</w:t>
      </w:r>
    </w:p>
    <w:p w14:paraId="4E7E61CE">
      <w:pPr>
        <w:spacing w:line="360" w:lineRule="auto"/>
        <w:ind w:firstLine="470" w:firstLineChars="196"/>
        <w:rPr>
          <w:rFonts w:ascii="宋体" w:hAnsi="宋体"/>
          <w:bCs/>
          <w:color w:val="auto"/>
          <w:sz w:val="24"/>
          <w:highlight w:val="none"/>
        </w:rPr>
      </w:pPr>
      <w:r>
        <w:rPr>
          <w:rFonts w:hint="eastAsia" w:ascii="宋体" w:cs="宋体"/>
          <w:color w:val="auto"/>
          <w:sz w:val="24"/>
          <w:highlight w:val="none"/>
        </w:rPr>
        <w:t>18.1本工程投标文件由</w:t>
      </w:r>
      <w:r>
        <w:rPr>
          <w:rFonts w:hint="eastAsia" w:ascii="宋体" w:cs="宋体"/>
          <w:b/>
          <w:color w:val="auto"/>
          <w:sz w:val="24"/>
          <w:highlight w:val="none"/>
          <w:u w:val="single"/>
        </w:rPr>
        <w:t>资格审查资料包、商务标</w:t>
      </w:r>
      <w:r>
        <w:rPr>
          <w:rFonts w:hint="eastAsia" w:ascii="宋体" w:cs="宋体"/>
          <w:color w:val="auto"/>
          <w:sz w:val="24"/>
          <w:highlight w:val="none"/>
        </w:rPr>
        <w:t>二部分组成。</w:t>
      </w:r>
      <w:r>
        <w:rPr>
          <w:rFonts w:hint="eastAsia" w:ascii="宋体" w:hAnsi="宋体"/>
          <w:b/>
          <w:bCs/>
          <w:color w:val="auto"/>
          <w:sz w:val="24"/>
          <w:highlight w:val="none"/>
        </w:rPr>
        <w:t>资格审查资料包，壹式</w:t>
      </w:r>
      <w:r>
        <w:rPr>
          <w:rFonts w:ascii="宋体" w:hAnsi="宋体"/>
          <w:b/>
          <w:bCs/>
          <w:color w:val="auto"/>
          <w:sz w:val="24"/>
          <w:highlight w:val="none"/>
          <w:u w:val="single"/>
        </w:rPr>
        <w:t xml:space="preserve"> </w:t>
      </w:r>
      <w:r>
        <w:rPr>
          <w:rFonts w:hint="eastAsia" w:ascii="宋体" w:hAnsi="宋体"/>
          <w:b/>
          <w:bCs/>
          <w:color w:val="auto"/>
          <w:sz w:val="24"/>
          <w:highlight w:val="none"/>
          <w:u w:val="single"/>
        </w:rPr>
        <w:t>肆</w:t>
      </w:r>
      <w:r>
        <w:rPr>
          <w:rFonts w:ascii="宋体" w:hAnsi="宋体"/>
          <w:b/>
          <w:bCs/>
          <w:color w:val="auto"/>
          <w:sz w:val="24"/>
          <w:highlight w:val="none"/>
          <w:u w:val="single"/>
        </w:rPr>
        <w:t xml:space="preserve"> </w:t>
      </w:r>
      <w:r>
        <w:rPr>
          <w:rFonts w:hint="eastAsia" w:ascii="宋体" w:hAnsi="宋体"/>
          <w:b/>
          <w:bCs/>
          <w:color w:val="auto"/>
          <w:sz w:val="24"/>
          <w:highlight w:val="none"/>
        </w:rPr>
        <w:t>份(其中正本</w:t>
      </w:r>
      <w:r>
        <w:rPr>
          <w:rFonts w:ascii="宋体" w:hAnsi="宋体"/>
          <w:b/>
          <w:bCs/>
          <w:color w:val="auto"/>
          <w:sz w:val="24"/>
          <w:highlight w:val="none"/>
          <w:u w:val="single"/>
        </w:rPr>
        <w:t xml:space="preserve"> </w:t>
      </w:r>
      <w:r>
        <w:rPr>
          <w:rFonts w:hint="eastAsia" w:ascii="宋体" w:hAnsi="宋体"/>
          <w:b/>
          <w:bCs/>
          <w:color w:val="auto"/>
          <w:sz w:val="24"/>
          <w:highlight w:val="none"/>
          <w:u w:val="single"/>
        </w:rPr>
        <w:t>壹</w:t>
      </w:r>
      <w:r>
        <w:rPr>
          <w:rFonts w:ascii="宋体" w:hAnsi="宋体"/>
          <w:b/>
          <w:bCs/>
          <w:color w:val="auto"/>
          <w:sz w:val="24"/>
          <w:highlight w:val="none"/>
          <w:u w:val="single"/>
        </w:rPr>
        <w:t xml:space="preserve"> </w:t>
      </w:r>
      <w:r>
        <w:rPr>
          <w:rFonts w:hint="eastAsia" w:ascii="宋体" w:hAnsi="宋体"/>
          <w:b/>
          <w:bCs/>
          <w:color w:val="auto"/>
          <w:sz w:val="24"/>
          <w:highlight w:val="none"/>
        </w:rPr>
        <w:t>份，副本</w:t>
      </w:r>
      <w:r>
        <w:rPr>
          <w:rFonts w:ascii="宋体" w:hAnsi="宋体"/>
          <w:b/>
          <w:bCs/>
          <w:color w:val="auto"/>
          <w:sz w:val="24"/>
          <w:highlight w:val="none"/>
          <w:u w:val="single"/>
        </w:rPr>
        <w:t xml:space="preserve"> </w:t>
      </w:r>
      <w:r>
        <w:rPr>
          <w:rFonts w:hint="eastAsia" w:ascii="宋体" w:hAnsi="宋体"/>
          <w:b/>
          <w:bCs/>
          <w:color w:val="auto"/>
          <w:sz w:val="24"/>
          <w:highlight w:val="none"/>
          <w:u w:val="single"/>
        </w:rPr>
        <w:t>叁</w:t>
      </w:r>
      <w:r>
        <w:rPr>
          <w:rFonts w:ascii="宋体" w:hAnsi="宋体"/>
          <w:b/>
          <w:bCs/>
          <w:color w:val="auto"/>
          <w:sz w:val="24"/>
          <w:highlight w:val="none"/>
          <w:u w:val="single"/>
        </w:rPr>
        <w:t xml:space="preserve"> </w:t>
      </w:r>
      <w:r>
        <w:rPr>
          <w:rFonts w:hint="eastAsia" w:ascii="宋体" w:hAnsi="宋体"/>
          <w:b/>
          <w:bCs/>
          <w:color w:val="auto"/>
          <w:sz w:val="24"/>
          <w:highlight w:val="none"/>
        </w:rPr>
        <w:t>份，并分别标注）；商务标，壹式</w:t>
      </w:r>
      <w:r>
        <w:rPr>
          <w:rFonts w:ascii="宋体" w:hAnsi="宋体"/>
          <w:b/>
          <w:bCs/>
          <w:color w:val="auto"/>
          <w:sz w:val="24"/>
          <w:highlight w:val="none"/>
          <w:u w:val="single"/>
        </w:rPr>
        <w:t xml:space="preserve"> </w:t>
      </w:r>
      <w:r>
        <w:rPr>
          <w:rFonts w:hint="eastAsia" w:ascii="宋体" w:hAnsi="宋体"/>
          <w:b/>
          <w:bCs/>
          <w:color w:val="auto"/>
          <w:sz w:val="24"/>
          <w:highlight w:val="none"/>
          <w:u w:val="single"/>
        </w:rPr>
        <w:t>肆</w:t>
      </w:r>
      <w:r>
        <w:rPr>
          <w:rFonts w:ascii="宋体" w:hAnsi="宋体"/>
          <w:b/>
          <w:bCs/>
          <w:color w:val="auto"/>
          <w:sz w:val="24"/>
          <w:highlight w:val="none"/>
          <w:u w:val="single"/>
        </w:rPr>
        <w:t xml:space="preserve"> </w:t>
      </w:r>
      <w:r>
        <w:rPr>
          <w:rFonts w:hint="eastAsia" w:ascii="宋体" w:hAnsi="宋体"/>
          <w:b/>
          <w:bCs/>
          <w:color w:val="auto"/>
          <w:sz w:val="24"/>
          <w:highlight w:val="none"/>
        </w:rPr>
        <w:t>份(其中正本</w:t>
      </w:r>
      <w:r>
        <w:rPr>
          <w:rFonts w:ascii="宋体" w:hAnsi="宋体"/>
          <w:b/>
          <w:bCs/>
          <w:color w:val="auto"/>
          <w:sz w:val="24"/>
          <w:highlight w:val="none"/>
          <w:u w:val="single"/>
        </w:rPr>
        <w:t xml:space="preserve"> </w:t>
      </w:r>
      <w:r>
        <w:rPr>
          <w:rFonts w:hint="eastAsia" w:ascii="宋体" w:hAnsi="宋体"/>
          <w:b/>
          <w:bCs/>
          <w:color w:val="auto"/>
          <w:sz w:val="24"/>
          <w:highlight w:val="none"/>
          <w:u w:val="single"/>
        </w:rPr>
        <w:t>壹</w:t>
      </w:r>
      <w:r>
        <w:rPr>
          <w:rFonts w:ascii="宋体" w:hAnsi="宋体"/>
          <w:b/>
          <w:bCs/>
          <w:color w:val="auto"/>
          <w:sz w:val="24"/>
          <w:highlight w:val="none"/>
          <w:u w:val="single"/>
        </w:rPr>
        <w:t xml:space="preserve"> </w:t>
      </w:r>
      <w:r>
        <w:rPr>
          <w:rFonts w:hint="eastAsia" w:ascii="宋体" w:hAnsi="宋体"/>
          <w:b/>
          <w:bCs/>
          <w:color w:val="auto"/>
          <w:sz w:val="24"/>
          <w:highlight w:val="none"/>
        </w:rPr>
        <w:t>份，副本</w:t>
      </w:r>
      <w:r>
        <w:rPr>
          <w:rFonts w:ascii="宋体" w:hAnsi="宋体"/>
          <w:b/>
          <w:bCs/>
          <w:color w:val="auto"/>
          <w:sz w:val="24"/>
          <w:highlight w:val="none"/>
          <w:u w:val="single"/>
        </w:rPr>
        <w:t xml:space="preserve"> </w:t>
      </w:r>
      <w:r>
        <w:rPr>
          <w:rFonts w:hint="eastAsia" w:ascii="宋体" w:hAnsi="宋体"/>
          <w:b/>
          <w:bCs/>
          <w:color w:val="auto"/>
          <w:sz w:val="24"/>
          <w:highlight w:val="none"/>
          <w:u w:val="single"/>
        </w:rPr>
        <w:t xml:space="preserve">叁 </w:t>
      </w:r>
      <w:r>
        <w:rPr>
          <w:rFonts w:hint="eastAsia" w:ascii="宋体" w:hAnsi="宋体"/>
          <w:b/>
          <w:bCs/>
          <w:color w:val="auto"/>
          <w:sz w:val="24"/>
          <w:highlight w:val="none"/>
        </w:rPr>
        <w:t>份，并分别标注）。投标人可将投标文件正副本统一密封于一个密封袋。如正本和副本分别密封的，应在封袋上标明正、副本字样。</w:t>
      </w:r>
      <w:r>
        <w:rPr>
          <w:rFonts w:ascii="宋体" w:hAnsi="宋体"/>
          <w:b/>
          <w:bCs/>
          <w:color w:val="auto"/>
          <w:sz w:val="24"/>
          <w:highlight w:val="none"/>
        </w:rPr>
        <w:t xml:space="preserve">  </w:t>
      </w:r>
    </w:p>
    <w:p w14:paraId="4E7E61CF">
      <w:pPr>
        <w:spacing w:line="360" w:lineRule="auto"/>
        <w:ind w:firstLine="472" w:firstLineChars="196"/>
        <w:rPr>
          <w:rFonts w:ascii="宋体" w:hAnsi="宋体"/>
          <w:b/>
          <w:bCs/>
          <w:color w:val="auto"/>
          <w:sz w:val="24"/>
          <w:highlight w:val="none"/>
        </w:rPr>
      </w:pPr>
      <w:r>
        <w:rPr>
          <w:rFonts w:hint="eastAsia" w:ascii="宋体" w:hAnsi="宋体"/>
          <w:b/>
          <w:bCs/>
          <w:color w:val="auto"/>
          <w:sz w:val="24"/>
          <w:highlight w:val="none"/>
        </w:rPr>
        <w:t>18.2</w:t>
      </w:r>
      <w:r>
        <w:rPr>
          <w:rFonts w:hint="eastAsia" w:ascii="宋体" w:hAnsi="宋体"/>
          <w:b/>
          <w:bCs/>
          <w:color w:val="auto"/>
          <w:sz w:val="24"/>
          <w:highlight w:val="none"/>
          <w:u w:val="single"/>
        </w:rPr>
        <w:t>资格审查资料包、商务标</w:t>
      </w:r>
      <w:r>
        <w:rPr>
          <w:rFonts w:hint="eastAsia" w:ascii="宋体" w:hAnsi="宋体"/>
          <w:b/>
          <w:bCs/>
          <w:color w:val="auto"/>
          <w:sz w:val="24"/>
          <w:highlight w:val="none"/>
        </w:rPr>
        <w:t>二部分必须分袋密封，并在封袋上加盖投标人单位公章，另须在封袋上标明“资格审查资料包”、“商务标”，同时还要写明招标人名称、工程名称及投标人名称。</w:t>
      </w:r>
    </w:p>
    <w:p w14:paraId="4E7E61D0">
      <w:pPr>
        <w:spacing w:line="360" w:lineRule="auto"/>
        <w:ind w:firstLine="480" w:firstLineChars="200"/>
        <w:rPr>
          <w:rFonts w:ascii="宋体" w:cs="宋体"/>
          <w:b/>
          <w:color w:val="auto"/>
          <w:sz w:val="24"/>
          <w:highlight w:val="none"/>
        </w:rPr>
      </w:pPr>
      <w:r>
        <w:rPr>
          <w:rFonts w:hint="eastAsia" w:ascii="宋体" w:cs="宋体"/>
          <w:color w:val="auto"/>
          <w:sz w:val="24"/>
          <w:highlight w:val="none"/>
        </w:rPr>
        <w:t>18.3</w:t>
      </w:r>
      <w:r>
        <w:rPr>
          <w:rFonts w:hint="eastAsia" w:ascii="宋体" w:cs="宋体"/>
          <w:b/>
          <w:color w:val="auto"/>
          <w:sz w:val="24"/>
          <w:highlight w:val="none"/>
        </w:rPr>
        <w:t>所有投标文件的密封袋封口处均应加盖投标人公章。</w:t>
      </w:r>
    </w:p>
    <w:p w14:paraId="4E7E61D1">
      <w:pPr>
        <w:spacing w:line="360" w:lineRule="auto"/>
        <w:ind w:firstLine="480" w:firstLineChars="200"/>
        <w:rPr>
          <w:rFonts w:ascii="宋体" w:cs="宋体"/>
          <w:color w:val="auto"/>
          <w:sz w:val="24"/>
          <w:highlight w:val="none"/>
        </w:rPr>
      </w:pPr>
      <w:r>
        <w:rPr>
          <w:rFonts w:hint="eastAsia" w:ascii="宋体" w:cs="宋体"/>
          <w:color w:val="auto"/>
          <w:sz w:val="24"/>
          <w:highlight w:val="none"/>
        </w:rPr>
        <w:t>18.4投标人未按上述规定提交投标文件，其投标文件将被拒绝，并退还给投标人。</w:t>
      </w:r>
    </w:p>
    <w:p w14:paraId="4E7E61D2">
      <w:pPr>
        <w:spacing w:line="360" w:lineRule="auto"/>
        <w:ind w:firstLine="480" w:firstLineChars="200"/>
        <w:rPr>
          <w:rFonts w:ascii="宋体" w:cs="宋体"/>
          <w:b/>
          <w:color w:val="auto"/>
          <w:kern w:val="0"/>
          <w:sz w:val="24"/>
          <w:highlight w:val="none"/>
        </w:rPr>
      </w:pPr>
      <w:r>
        <w:rPr>
          <w:rFonts w:hint="eastAsia" w:ascii="宋体" w:cs="宋体"/>
          <w:color w:val="auto"/>
          <w:sz w:val="24"/>
          <w:highlight w:val="none"/>
        </w:rPr>
        <w:t>18.5 投标文件正、副本不一致时，以正本为准。</w:t>
      </w:r>
    </w:p>
    <w:p w14:paraId="4E7E61D3">
      <w:pPr>
        <w:spacing w:line="360" w:lineRule="auto"/>
        <w:ind w:firstLine="482" w:firstLineChars="200"/>
        <w:rPr>
          <w:rFonts w:ascii="宋体" w:cs="宋体"/>
          <w:b/>
          <w:color w:val="auto"/>
          <w:sz w:val="24"/>
          <w:highlight w:val="none"/>
        </w:rPr>
      </w:pPr>
      <w:r>
        <w:rPr>
          <w:rFonts w:hint="eastAsia" w:ascii="宋体" w:cs="宋体"/>
          <w:b/>
          <w:color w:val="auto"/>
          <w:sz w:val="24"/>
          <w:highlight w:val="none"/>
        </w:rPr>
        <w:t>19.投标文件的递交</w:t>
      </w:r>
    </w:p>
    <w:p w14:paraId="4E7E61D4">
      <w:pPr>
        <w:spacing w:line="360" w:lineRule="auto"/>
        <w:ind w:firstLine="480" w:firstLineChars="200"/>
        <w:rPr>
          <w:rFonts w:ascii="宋体" w:cs="宋体"/>
          <w:color w:val="auto"/>
          <w:sz w:val="24"/>
          <w:highlight w:val="none"/>
        </w:rPr>
      </w:pPr>
      <w:r>
        <w:rPr>
          <w:rFonts w:hint="eastAsia" w:ascii="宋体" w:cs="宋体"/>
          <w:color w:val="auto"/>
          <w:sz w:val="24"/>
          <w:highlight w:val="none"/>
        </w:rPr>
        <w:t>19.1投标人应在投标人须知前附表</w:t>
      </w:r>
      <w:r>
        <w:rPr>
          <w:rFonts w:hint="eastAsia" w:ascii="宋体" w:cs="宋体"/>
          <w:color w:val="auto"/>
          <w:sz w:val="24"/>
          <w:highlight w:val="none"/>
          <w:u w:val="single"/>
        </w:rPr>
        <w:t>第19条</w:t>
      </w:r>
      <w:r>
        <w:rPr>
          <w:rFonts w:hint="eastAsia" w:ascii="宋体" w:cs="宋体"/>
          <w:color w:val="auto"/>
          <w:sz w:val="24"/>
          <w:highlight w:val="none"/>
        </w:rPr>
        <w:t>规定的投标文件递交截止时间之前递交。招标人延长递交投标文件截止时间的，招标人与投标人在原投标截止期的全部权利、义务、责任将适用于延长后新的投标截止期。</w:t>
      </w:r>
    </w:p>
    <w:p w14:paraId="4E7E61D5">
      <w:pPr>
        <w:spacing w:line="360" w:lineRule="auto"/>
        <w:ind w:firstLine="480" w:firstLineChars="200"/>
        <w:rPr>
          <w:rFonts w:ascii="宋体" w:cs="宋体"/>
          <w:color w:val="auto"/>
          <w:sz w:val="24"/>
          <w:highlight w:val="none"/>
        </w:rPr>
      </w:pPr>
      <w:r>
        <w:rPr>
          <w:rFonts w:hint="eastAsia" w:ascii="宋体" w:cs="宋体"/>
          <w:color w:val="auto"/>
          <w:sz w:val="24"/>
          <w:highlight w:val="none"/>
        </w:rPr>
        <w:t>19.2逾期送达的或者未送达指定地点的投标文件，招标人不予受理。</w:t>
      </w:r>
    </w:p>
    <w:p w14:paraId="4E7E61D6">
      <w:pPr>
        <w:spacing w:line="360" w:lineRule="auto"/>
        <w:ind w:firstLine="482" w:firstLineChars="200"/>
        <w:rPr>
          <w:rFonts w:ascii="宋体" w:cs="宋体"/>
          <w:b/>
          <w:color w:val="auto"/>
          <w:sz w:val="24"/>
          <w:highlight w:val="none"/>
        </w:rPr>
      </w:pPr>
      <w:r>
        <w:rPr>
          <w:rFonts w:hint="eastAsia" w:ascii="宋体" w:cs="宋体"/>
          <w:b/>
          <w:color w:val="auto"/>
          <w:sz w:val="24"/>
          <w:highlight w:val="none"/>
        </w:rPr>
        <w:t>20.投标文件的修改与撤回</w:t>
      </w:r>
    </w:p>
    <w:p w14:paraId="4E7E61D7">
      <w:pPr>
        <w:spacing w:line="360" w:lineRule="auto"/>
        <w:ind w:firstLine="480" w:firstLineChars="200"/>
        <w:rPr>
          <w:rFonts w:ascii="宋体" w:cs="宋体"/>
          <w:b/>
          <w:color w:val="auto"/>
          <w:sz w:val="24"/>
          <w:highlight w:val="none"/>
        </w:rPr>
      </w:pPr>
      <w:r>
        <w:rPr>
          <w:rFonts w:hint="eastAsia" w:ascii="宋体" w:cs="宋体"/>
          <w:color w:val="auto"/>
          <w:sz w:val="24"/>
          <w:highlight w:val="none"/>
        </w:rPr>
        <w:t>投标截止时间之前，投标人可对所递交的投标文件进行修改或撤回，但所递交的修改或撤回通知必须按招标文件的规定进行编制、密封、标志（在包封上标明“修改”或“撤回”字样，并注明修改或撤回的时间）和递交。投标截止时间之后，投标人不得修改或撤回投标文件。</w:t>
      </w:r>
    </w:p>
    <w:p w14:paraId="4E7E61D8">
      <w:pPr>
        <w:jc w:val="center"/>
        <w:rPr>
          <w:rFonts w:ascii="宋体" w:cs="宋体"/>
          <w:b/>
          <w:bCs/>
          <w:color w:val="auto"/>
          <w:sz w:val="28"/>
          <w:szCs w:val="28"/>
          <w:highlight w:val="none"/>
        </w:rPr>
      </w:pPr>
    </w:p>
    <w:p w14:paraId="4E7E61D9">
      <w:pPr>
        <w:jc w:val="center"/>
        <w:rPr>
          <w:rFonts w:ascii="宋体" w:cs="宋体"/>
          <w:b/>
          <w:bCs/>
          <w:color w:val="auto"/>
          <w:sz w:val="28"/>
          <w:szCs w:val="28"/>
          <w:highlight w:val="none"/>
        </w:rPr>
      </w:pPr>
      <w:r>
        <w:rPr>
          <w:rFonts w:hint="eastAsia" w:ascii="宋体" w:cs="宋体"/>
          <w:b/>
          <w:bCs/>
          <w:color w:val="auto"/>
          <w:sz w:val="28"/>
          <w:szCs w:val="28"/>
          <w:highlight w:val="none"/>
        </w:rPr>
        <w:t>（六） 开标、评标和定标</w:t>
      </w:r>
    </w:p>
    <w:p w14:paraId="4E7E61DA">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21.</w:t>
      </w:r>
      <w:r>
        <w:rPr>
          <w:rFonts w:hint="eastAsia" w:ascii="宋体" w:cs="宋体"/>
          <w:color w:val="auto"/>
          <w:sz w:val="24"/>
          <w:highlight w:val="none"/>
        </w:rPr>
        <w:t>本工程评标、定标办法采用下列</w:t>
      </w:r>
      <w:r>
        <w:rPr>
          <w:rFonts w:hint="eastAsia" w:ascii="宋体" w:cs="宋体"/>
          <w:b/>
          <w:color w:val="auto"/>
          <w:sz w:val="24"/>
          <w:highlight w:val="none"/>
          <w:u w:val="single"/>
        </w:rPr>
        <w:t xml:space="preserve">  23.1 </w:t>
      </w:r>
      <w:r>
        <w:rPr>
          <w:rFonts w:hint="eastAsia" w:ascii="宋体" w:cs="宋体"/>
          <w:color w:val="auto"/>
          <w:sz w:val="24"/>
          <w:highlight w:val="none"/>
        </w:rPr>
        <w:t xml:space="preserve"> 种方式</w:t>
      </w:r>
    </w:p>
    <w:p w14:paraId="4E7E61DB">
      <w:pPr>
        <w:spacing w:line="440" w:lineRule="exact"/>
        <w:ind w:firstLine="480" w:firstLineChars="200"/>
        <w:rPr>
          <w:rFonts w:ascii="宋体" w:cs="宋体"/>
          <w:color w:val="auto"/>
          <w:sz w:val="24"/>
          <w:highlight w:val="none"/>
        </w:rPr>
      </w:pPr>
      <w:r>
        <w:rPr>
          <w:rFonts w:hint="eastAsia" w:ascii="宋体" w:cs="宋体"/>
          <w:color w:val="auto"/>
          <w:sz w:val="24"/>
          <w:highlight w:val="none"/>
        </w:rPr>
        <w:t>21.1价格单因素评标办法</w:t>
      </w:r>
    </w:p>
    <w:p w14:paraId="4E7E61DC">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22.</w:t>
      </w:r>
      <w:r>
        <w:rPr>
          <w:rFonts w:hint="eastAsia" w:ascii="宋体" w:cs="宋体"/>
          <w:color w:val="auto"/>
          <w:sz w:val="24"/>
          <w:highlight w:val="none"/>
        </w:rPr>
        <w:t>招标人按本须知前附表</w:t>
      </w:r>
      <w:r>
        <w:rPr>
          <w:rFonts w:hint="eastAsia" w:ascii="宋体" w:cs="宋体"/>
          <w:color w:val="auto"/>
          <w:sz w:val="24"/>
          <w:highlight w:val="none"/>
          <w:u w:val="single"/>
        </w:rPr>
        <w:t>第20项</w:t>
      </w:r>
      <w:r>
        <w:rPr>
          <w:rFonts w:hint="eastAsia" w:ascii="宋体" w:cs="宋体"/>
          <w:color w:val="auto"/>
          <w:sz w:val="24"/>
          <w:highlight w:val="none"/>
        </w:rPr>
        <w:t>规定的时间、地点公开开标。开标会由招标代理机构主持，由投标人或投标人代表检查投标文件的密封情况。</w:t>
      </w:r>
    </w:p>
    <w:p w14:paraId="4E7E61DD">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23.</w:t>
      </w:r>
      <w:r>
        <w:rPr>
          <w:rFonts w:hint="eastAsia" w:ascii="宋体" w:cs="宋体"/>
          <w:color w:val="auto"/>
          <w:sz w:val="24"/>
          <w:highlight w:val="none"/>
        </w:rPr>
        <w:t>评标委员会应当审查每一投标文件是否对招标文件提出的所有实质性要求和条件作出响应。</w:t>
      </w:r>
    </w:p>
    <w:p w14:paraId="4E7E61DE">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24.</w:t>
      </w:r>
      <w:r>
        <w:rPr>
          <w:rFonts w:hint="eastAsia" w:ascii="宋体" w:cs="宋体"/>
          <w:b/>
          <w:color w:val="auto"/>
          <w:kern w:val="0"/>
          <w:sz w:val="24"/>
          <w:highlight w:val="none"/>
        </w:rPr>
        <w:t>凡</w:t>
      </w:r>
      <w:r>
        <w:rPr>
          <w:rFonts w:hint="eastAsia" w:ascii="宋体" w:cs="宋体"/>
          <w:b/>
          <w:color w:val="auto"/>
          <w:sz w:val="24"/>
          <w:highlight w:val="none"/>
        </w:rPr>
        <w:t>投标文件有下列情况之一的，属于重大偏差，视同未能对招标文件作出实质性响应，按废标处理：</w:t>
      </w:r>
    </w:p>
    <w:p w14:paraId="4E7E61DF">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24.1投标文件中的投标函未加盖投标人的公章；</w:t>
      </w:r>
      <w:r>
        <w:rPr>
          <w:rFonts w:hint="eastAsia" w:ascii="宋体" w:cs="宋体"/>
          <w:b/>
          <w:color w:val="auto"/>
          <w:sz w:val="24"/>
          <w:highlight w:val="none"/>
        </w:rPr>
        <w:br w:type="textWrapping"/>
      </w:r>
      <w:r>
        <w:rPr>
          <w:rFonts w:hint="eastAsia" w:ascii="宋体" w:cs="宋体"/>
          <w:b/>
          <w:color w:val="auto"/>
          <w:sz w:val="24"/>
          <w:highlight w:val="none"/>
        </w:rPr>
        <w:t xml:space="preserve">    24.2投标文件中的投标函未加盖企业法定代表人（或委托代理人）印章（或签字）的；</w:t>
      </w:r>
      <w:r>
        <w:rPr>
          <w:rFonts w:hint="eastAsia" w:ascii="宋体" w:cs="宋体"/>
          <w:b/>
          <w:color w:val="auto"/>
          <w:sz w:val="24"/>
          <w:highlight w:val="none"/>
        </w:rPr>
        <w:br w:type="textWrapping"/>
      </w:r>
      <w:r>
        <w:rPr>
          <w:rFonts w:hint="eastAsia" w:ascii="宋体" w:cs="宋体"/>
          <w:b/>
          <w:color w:val="auto"/>
          <w:sz w:val="24"/>
          <w:highlight w:val="none"/>
        </w:rPr>
        <w:t xml:space="preserve">    24.3如投标函加盖企业委托代理人印章（或签字）的，委托代理人没有合法、有效的委托书（原件）的；</w:t>
      </w:r>
      <w:r>
        <w:rPr>
          <w:rFonts w:hint="eastAsia" w:ascii="宋体" w:cs="宋体"/>
          <w:b/>
          <w:color w:val="auto"/>
          <w:sz w:val="24"/>
          <w:highlight w:val="none"/>
        </w:rPr>
        <w:br w:type="textWrapping"/>
      </w:r>
      <w:r>
        <w:rPr>
          <w:rFonts w:hint="eastAsia" w:ascii="宋体" w:cs="宋体"/>
          <w:b/>
          <w:color w:val="auto"/>
          <w:sz w:val="24"/>
          <w:highlight w:val="none"/>
        </w:rPr>
        <w:t xml:space="preserve">    24.4投标人资格条件不符合国家有关规定或招标文件要求的；</w:t>
      </w:r>
      <w:r>
        <w:rPr>
          <w:rFonts w:hint="eastAsia" w:ascii="宋体" w:cs="宋体"/>
          <w:b/>
          <w:color w:val="auto"/>
          <w:sz w:val="24"/>
          <w:highlight w:val="none"/>
        </w:rPr>
        <w:br w:type="textWrapping"/>
      </w:r>
      <w:r>
        <w:rPr>
          <w:rFonts w:hint="eastAsia" w:ascii="宋体" w:cs="宋体"/>
          <w:b/>
          <w:color w:val="auto"/>
          <w:sz w:val="24"/>
          <w:highlight w:val="none"/>
        </w:rPr>
        <w:t xml:space="preserve">    24.5投标人名称或组织结构与资格预审时不一致的；</w:t>
      </w:r>
      <w:r>
        <w:rPr>
          <w:rFonts w:hint="eastAsia" w:ascii="宋体" w:cs="宋体"/>
          <w:b/>
          <w:color w:val="auto"/>
          <w:sz w:val="24"/>
          <w:highlight w:val="none"/>
        </w:rPr>
        <w:br w:type="textWrapping"/>
      </w:r>
      <w:r>
        <w:rPr>
          <w:rFonts w:hint="eastAsia" w:ascii="宋体" w:cs="宋体"/>
          <w:b/>
          <w:color w:val="auto"/>
          <w:sz w:val="24"/>
          <w:highlight w:val="none"/>
        </w:rPr>
        <w:t xml:space="preserve">    24.6除在投标截止时间前经招标人书面同意外，项目负责人与资格预审时不一致的；</w:t>
      </w:r>
      <w:r>
        <w:rPr>
          <w:rFonts w:hint="eastAsia" w:ascii="宋体" w:cs="宋体"/>
          <w:b/>
          <w:color w:val="auto"/>
          <w:sz w:val="24"/>
          <w:highlight w:val="none"/>
        </w:rPr>
        <w:br w:type="textWrapping"/>
      </w:r>
      <w:r>
        <w:rPr>
          <w:rFonts w:hint="eastAsia" w:ascii="宋体" w:cs="宋体"/>
          <w:b/>
          <w:color w:val="auto"/>
          <w:sz w:val="24"/>
          <w:highlight w:val="none"/>
        </w:rPr>
        <w:t xml:space="preserve">    24.7组成联合体投标未提供联合体各方共同投标协议的（本工程不接受联合体）；</w:t>
      </w:r>
      <w:r>
        <w:rPr>
          <w:rFonts w:hint="eastAsia" w:ascii="宋体" w:cs="宋体"/>
          <w:b/>
          <w:color w:val="auto"/>
          <w:sz w:val="24"/>
          <w:highlight w:val="none"/>
        </w:rPr>
        <w:br w:type="textWrapping"/>
      </w:r>
      <w:r>
        <w:rPr>
          <w:rFonts w:hint="eastAsia" w:ascii="宋体" w:cs="宋体"/>
          <w:b/>
          <w:color w:val="auto"/>
          <w:sz w:val="24"/>
          <w:highlight w:val="none"/>
        </w:rPr>
        <w:t xml:space="preserve">    24.8在同一招标项目中，联合体成员以自己名义单独投标或者参加其他联合体投标的；</w:t>
      </w:r>
      <w:r>
        <w:rPr>
          <w:rFonts w:hint="eastAsia" w:ascii="宋体" w:cs="宋体"/>
          <w:b/>
          <w:color w:val="auto"/>
          <w:sz w:val="24"/>
          <w:highlight w:val="none"/>
        </w:rPr>
        <w:br w:type="textWrapping"/>
      </w:r>
      <w:r>
        <w:rPr>
          <w:rFonts w:hint="eastAsia" w:ascii="宋体" w:cs="宋体"/>
          <w:b/>
          <w:color w:val="auto"/>
          <w:sz w:val="24"/>
          <w:highlight w:val="none"/>
        </w:rPr>
        <w:t xml:space="preserve">    24.9联合体成员与资格预审确定的结果不一致的； </w:t>
      </w:r>
      <w:r>
        <w:rPr>
          <w:rFonts w:hint="eastAsia" w:ascii="宋体" w:cs="宋体"/>
          <w:b/>
          <w:color w:val="auto"/>
          <w:sz w:val="24"/>
          <w:highlight w:val="none"/>
        </w:rPr>
        <w:br w:type="textWrapping"/>
      </w:r>
      <w:r>
        <w:rPr>
          <w:rFonts w:hint="eastAsia" w:ascii="宋体" w:cs="宋体"/>
          <w:b/>
          <w:color w:val="auto"/>
          <w:sz w:val="24"/>
          <w:highlight w:val="none"/>
        </w:rPr>
        <w:t xml:space="preserve">    24.10投标报价低于成本或者不符合招标文件设定的招标控制价的；</w:t>
      </w:r>
      <w:r>
        <w:rPr>
          <w:rFonts w:hint="eastAsia" w:ascii="宋体" w:cs="宋体"/>
          <w:b/>
          <w:color w:val="auto"/>
          <w:sz w:val="24"/>
          <w:highlight w:val="none"/>
        </w:rPr>
        <w:br w:type="textWrapping"/>
      </w:r>
      <w:r>
        <w:rPr>
          <w:rFonts w:hint="eastAsia" w:ascii="宋体" w:cs="宋体"/>
          <w:b/>
          <w:color w:val="auto"/>
          <w:sz w:val="24"/>
          <w:highlight w:val="none"/>
        </w:rPr>
        <w:t xml:space="preserve">    24.11同一投标人提交两个及以上不同的投标文件或者投标报价，但招标文件要求提交备选投标的除外；</w:t>
      </w:r>
      <w:r>
        <w:rPr>
          <w:rFonts w:hint="eastAsia" w:ascii="宋体" w:cs="宋体"/>
          <w:b/>
          <w:color w:val="auto"/>
          <w:sz w:val="24"/>
          <w:highlight w:val="none"/>
        </w:rPr>
        <w:br w:type="textWrapping"/>
      </w:r>
      <w:r>
        <w:rPr>
          <w:rFonts w:hint="eastAsia" w:ascii="宋体" w:cs="宋体"/>
          <w:b/>
          <w:color w:val="auto"/>
          <w:sz w:val="24"/>
          <w:highlight w:val="none"/>
        </w:rPr>
        <w:t xml:space="preserve">    24.12投标文件中已标价的工程量清单与招标文件规定的暂估价、暂列金额及甲供材料价格不一致的；</w:t>
      </w:r>
      <w:r>
        <w:rPr>
          <w:rFonts w:hint="eastAsia" w:ascii="宋体" w:cs="宋体"/>
          <w:b/>
          <w:color w:val="auto"/>
          <w:sz w:val="24"/>
          <w:highlight w:val="none"/>
        </w:rPr>
        <w:br w:type="textWrapping"/>
      </w:r>
      <w:r>
        <w:rPr>
          <w:rFonts w:hint="eastAsia" w:ascii="宋体" w:cs="宋体"/>
          <w:b/>
          <w:color w:val="auto"/>
          <w:sz w:val="24"/>
          <w:highlight w:val="none"/>
        </w:rPr>
        <w:t xml:space="preserve">    24.13投标文件中已标价的工程量清单与招标文件明确列出的不可竞争费用项目或费率或计算基础不一致的；</w:t>
      </w:r>
      <w:r>
        <w:rPr>
          <w:rFonts w:hint="eastAsia" w:ascii="宋体" w:cs="宋体"/>
          <w:b/>
          <w:color w:val="auto"/>
          <w:sz w:val="24"/>
          <w:highlight w:val="none"/>
        </w:rPr>
        <w:br w:type="textWrapping"/>
      </w:r>
      <w:r>
        <w:rPr>
          <w:rFonts w:hint="eastAsia" w:ascii="宋体" w:cs="宋体"/>
          <w:b/>
          <w:color w:val="auto"/>
          <w:sz w:val="24"/>
          <w:highlight w:val="none"/>
        </w:rPr>
        <w:t xml:space="preserve">    24.14投标文件中已标价的工程量清单与招标文件提供的工程量清单中的项目编码、项目名称、项目特征、计量单位、工程量不一致的；</w:t>
      </w:r>
      <w:r>
        <w:rPr>
          <w:rFonts w:hint="eastAsia" w:ascii="宋体" w:cs="宋体"/>
          <w:b/>
          <w:color w:val="auto"/>
          <w:sz w:val="24"/>
          <w:highlight w:val="none"/>
        </w:rPr>
        <w:br w:type="textWrapping"/>
      </w:r>
      <w:r>
        <w:rPr>
          <w:rFonts w:hint="eastAsia" w:ascii="宋体" w:cs="宋体"/>
          <w:b/>
          <w:color w:val="auto"/>
          <w:sz w:val="24"/>
          <w:highlight w:val="none"/>
        </w:rPr>
        <w:t xml:space="preserve">    24.15投标文件载明的招标项目完成期限超过招标文件规定的期限的；</w:t>
      </w:r>
      <w:r>
        <w:rPr>
          <w:rFonts w:hint="eastAsia" w:ascii="宋体" w:cs="宋体"/>
          <w:b/>
          <w:color w:val="auto"/>
          <w:sz w:val="24"/>
          <w:highlight w:val="none"/>
        </w:rPr>
        <w:br w:type="textWrapping"/>
      </w:r>
      <w:r>
        <w:rPr>
          <w:rFonts w:hint="eastAsia" w:ascii="宋体" w:cs="宋体"/>
          <w:b/>
          <w:color w:val="auto"/>
          <w:sz w:val="24"/>
          <w:highlight w:val="none"/>
        </w:rPr>
        <w:t xml:space="preserve">    24.16明显不符合技术规范、技术标准的要求的；</w:t>
      </w:r>
      <w:r>
        <w:rPr>
          <w:rFonts w:hint="eastAsia" w:ascii="宋体" w:cs="宋体"/>
          <w:b/>
          <w:color w:val="auto"/>
          <w:sz w:val="24"/>
          <w:highlight w:val="none"/>
        </w:rPr>
        <w:br w:type="textWrapping"/>
      </w:r>
      <w:r>
        <w:rPr>
          <w:rFonts w:hint="eastAsia" w:ascii="宋体" w:cs="宋体"/>
          <w:b/>
          <w:color w:val="auto"/>
          <w:sz w:val="24"/>
          <w:highlight w:val="none"/>
        </w:rPr>
        <w:t xml:space="preserve">    24.17投标文件载明的货物包装方式、检验标准和方法等不符合招标文件的要求的；</w:t>
      </w:r>
      <w:r>
        <w:rPr>
          <w:rFonts w:hint="eastAsia" w:ascii="宋体" w:cs="宋体"/>
          <w:b/>
          <w:color w:val="auto"/>
          <w:sz w:val="24"/>
          <w:highlight w:val="none"/>
        </w:rPr>
        <w:br w:type="textWrapping"/>
      </w:r>
      <w:r>
        <w:rPr>
          <w:rFonts w:hint="eastAsia" w:ascii="宋体" w:cs="宋体"/>
          <w:b/>
          <w:color w:val="auto"/>
          <w:sz w:val="24"/>
          <w:highlight w:val="none"/>
        </w:rPr>
        <w:t xml:space="preserve">    24.18投标文件提出了不能满足招标文件要求或招标人不能接受的工程验收、计量、价款结算和支付办法的；</w:t>
      </w:r>
      <w:r>
        <w:rPr>
          <w:rFonts w:hint="eastAsia" w:ascii="宋体" w:cs="宋体"/>
          <w:b/>
          <w:color w:val="auto"/>
          <w:sz w:val="24"/>
          <w:highlight w:val="none"/>
        </w:rPr>
        <w:br w:type="textWrapping"/>
      </w:r>
      <w:r>
        <w:rPr>
          <w:rFonts w:hint="eastAsia" w:ascii="宋体" w:cs="宋体"/>
          <w:b/>
          <w:color w:val="auto"/>
          <w:sz w:val="24"/>
          <w:highlight w:val="none"/>
        </w:rPr>
        <w:t xml:space="preserve">    24.19未按招标文件要求提供投标文件；</w:t>
      </w:r>
      <w:r>
        <w:rPr>
          <w:rFonts w:hint="eastAsia" w:ascii="宋体" w:cs="宋体"/>
          <w:b/>
          <w:color w:val="auto"/>
          <w:sz w:val="24"/>
          <w:highlight w:val="none"/>
        </w:rPr>
        <w:br w:type="textWrapping"/>
      </w:r>
      <w:r>
        <w:rPr>
          <w:rFonts w:hint="eastAsia" w:ascii="宋体" w:cs="宋体"/>
          <w:b/>
          <w:color w:val="auto"/>
          <w:sz w:val="24"/>
          <w:highlight w:val="none"/>
        </w:rPr>
        <w:t xml:space="preserve">    24.20不同投标人的投标文件以及投标文件制作过程出现了评标委员会认为不应当雷同的情况的；</w:t>
      </w:r>
      <w:r>
        <w:rPr>
          <w:rFonts w:hint="eastAsia" w:ascii="宋体" w:cs="宋体"/>
          <w:b/>
          <w:color w:val="auto"/>
          <w:sz w:val="24"/>
          <w:highlight w:val="none"/>
        </w:rPr>
        <w:br w:type="textWrapping"/>
      </w:r>
      <w:r>
        <w:rPr>
          <w:rFonts w:hint="eastAsia" w:ascii="宋体" w:cs="宋体"/>
          <w:b/>
          <w:color w:val="auto"/>
          <w:sz w:val="24"/>
          <w:highlight w:val="none"/>
        </w:rPr>
        <w:t xml:space="preserve">    24.21以他人的名义投标、串通投标、以行贿手段谋取中标或者以其他弄虚作假方式投标的；</w:t>
      </w:r>
      <w:r>
        <w:rPr>
          <w:rFonts w:hint="eastAsia" w:ascii="宋体" w:cs="宋体"/>
          <w:b/>
          <w:color w:val="auto"/>
          <w:sz w:val="24"/>
          <w:highlight w:val="none"/>
        </w:rPr>
        <w:br w:type="textWrapping"/>
      </w:r>
      <w:r>
        <w:rPr>
          <w:rFonts w:hint="eastAsia" w:ascii="宋体" w:cs="宋体"/>
          <w:b/>
          <w:color w:val="auto"/>
          <w:sz w:val="24"/>
          <w:highlight w:val="none"/>
        </w:rPr>
        <w:t xml:space="preserve">    24.22 施工组织设计（施工方案）存在明显技术档案错误、或者不符合招标文件有关暗标的要求；</w:t>
      </w:r>
    </w:p>
    <w:p w14:paraId="4E7E61E0">
      <w:pPr>
        <w:spacing w:line="440" w:lineRule="exact"/>
        <w:ind w:firstLine="482" w:firstLineChars="200"/>
        <w:rPr>
          <w:rFonts w:ascii="宋体" w:cs="宋体"/>
          <w:b/>
          <w:color w:val="auto"/>
          <w:sz w:val="24"/>
          <w:highlight w:val="none"/>
        </w:rPr>
      </w:pPr>
      <w:r>
        <w:rPr>
          <w:rFonts w:hint="eastAsia" w:ascii="宋体" w:cs="宋体"/>
          <w:b/>
          <w:color w:val="auto"/>
          <w:sz w:val="24"/>
          <w:highlight w:val="none"/>
        </w:rPr>
        <w:t>24.23投标文件关键内容模糊、无法辨认的。</w:t>
      </w:r>
    </w:p>
    <w:p w14:paraId="4E7E61E1">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25.</w:t>
      </w:r>
      <w:r>
        <w:rPr>
          <w:rFonts w:hint="eastAsia" w:ascii="宋体" w:cs="宋体"/>
          <w:color w:val="auto"/>
          <w:sz w:val="24"/>
          <w:highlight w:val="none"/>
        </w:rPr>
        <w:t>评标、定标工作在有关部门的监督下由招标人或代理机构组织进行。</w:t>
      </w:r>
    </w:p>
    <w:p w14:paraId="4E7E61E2">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26.</w:t>
      </w:r>
      <w:r>
        <w:rPr>
          <w:rFonts w:hint="eastAsia" w:ascii="宋体" w:cs="宋体"/>
          <w:color w:val="auto"/>
          <w:sz w:val="24"/>
          <w:highlight w:val="none"/>
        </w:rPr>
        <w:t>投标文件的澄清</w:t>
      </w:r>
    </w:p>
    <w:p w14:paraId="4E7E61E3">
      <w:pPr>
        <w:spacing w:line="440" w:lineRule="exact"/>
        <w:ind w:firstLine="480" w:firstLineChars="200"/>
        <w:rPr>
          <w:rFonts w:ascii="宋体" w:cs="宋体"/>
          <w:color w:val="auto"/>
          <w:sz w:val="24"/>
          <w:highlight w:val="none"/>
        </w:rPr>
      </w:pPr>
      <w:r>
        <w:rPr>
          <w:rFonts w:hint="eastAsia" w:ascii="宋体" w:cs="宋体"/>
          <w:color w:val="auto"/>
          <w:sz w:val="24"/>
          <w:highlight w:val="none"/>
        </w:rPr>
        <w:t>在评标过程中，评标委员会认为需要，可以书面形式要求投标人对投标文件中的有关问题进行澄清或提供补充说明及有关资料，投标人应作出书面答复。书面答复中不得有变更价格、工期、自报质量等级等实质性内容。</w:t>
      </w:r>
    </w:p>
    <w:p w14:paraId="4E7E61E4">
      <w:pPr>
        <w:spacing w:line="440" w:lineRule="exact"/>
        <w:ind w:firstLine="472" w:firstLineChars="200"/>
        <w:rPr>
          <w:rFonts w:ascii="宋体" w:cs="宋体"/>
          <w:color w:val="auto"/>
          <w:sz w:val="24"/>
          <w:highlight w:val="none"/>
        </w:rPr>
      </w:pPr>
      <w:r>
        <w:rPr>
          <w:rFonts w:hint="eastAsia" w:ascii="宋体" w:cs="宋体"/>
          <w:color w:val="auto"/>
          <w:spacing w:val="-2"/>
          <w:sz w:val="24"/>
          <w:highlight w:val="none"/>
        </w:rPr>
        <w:t>书面答复须经投标人法定代表人或经其授权的委托代理人的签字或加盖印鉴，签字或加盖印鉴的书面答复将被视为投标文件的组成部分。投标截止日后，投标人对投标报价或其他实质性内容修正的函件和增加的任何优惠条件，一律不得作为评标、定标的依据</w:t>
      </w:r>
      <w:r>
        <w:rPr>
          <w:rFonts w:hint="eastAsia" w:ascii="宋体" w:cs="宋体"/>
          <w:color w:val="auto"/>
          <w:sz w:val="24"/>
          <w:highlight w:val="none"/>
        </w:rPr>
        <w:t>。</w:t>
      </w:r>
    </w:p>
    <w:p w14:paraId="4E7E61E5">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27.</w:t>
      </w:r>
      <w:r>
        <w:rPr>
          <w:rFonts w:hint="eastAsia" w:ascii="宋体" w:cs="宋体"/>
          <w:color w:val="auto"/>
          <w:sz w:val="24"/>
          <w:highlight w:val="none"/>
        </w:rPr>
        <w:t>评标委员会在对实质性响应招标文件要求的投标进行报价评估时，除招标文件另有约定外，应当按下列原则进行修正：（一）投标文件中的大写金额与小写金额不一致，以大写金额为准；（二）总价金额与单价不一致的，以单价金额为准，但单价金额小数点有明显错误的除外；（三）对不同文字文本投标文件的解释发生异议的，以中文文本为准。</w:t>
      </w:r>
    </w:p>
    <w:p w14:paraId="4E7E61E6">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28.</w:t>
      </w:r>
      <w:r>
        <w:rPr>
          <w:rFonts w:hint="eastAsia" w:ascii="宋体" w:cs="宋体"/>
          <w:color w:val="auto"/>
          <w:sz w:val="24"/>
          <w:highlight w:val="none"/>
        </w:rPr>
        <w:t>在投标文件的审查、澄清、评价和比较以及授予合同的过程中，投标人对招标人和评标组织成员施加影响的任何行为，都将导致取消其中标资格。</w:t>
      </w:r>
    </w:p>
    <w:p w14:paraId="4E7E61E7">
      <w:pPr>
        <w:widowControl/>
        <w:spacing w:line="440" w:lineRule="exact"/>
        <w:ind w:firstLine="482" w:firstLineChars="200"/>
        <w:rPr>
          <w:rFonts w:ascii="宋体" w:cs="宋体"/>
          <w:color w:val="auto"/>
          <w:sz w:val="24"/>
          <w:highlight w:val="none"/>
        </w:rPr>
      </w:pPr>
      <w:r>
        <w:rPr>
          <w:rFonts w:hint="eastAsia" w:ascii="宋体" w:cs="宋体"/>
          <w:b/>
          <w:color w:val="auto"/>
          <w:sz w:val="24"/>
          <w:highlight w:val="none"/>
        </w:rPr>
        <w:t>29.</w:t>
      </w:r>
      <w:r>
        <w:rPr>
          <w:rFonts w:hint="eastAsia" w:ascii="宋体" w:cs="宋体"/>
          <w:color w:val="auto"/>
          <w:spacing w:val="-2"/>
          <w:sz w:val="24"/>
          <w:highlight w:val="none"/>
        </w:rPr>
        <w:t>评标委员会在评标工作完成后，将在评标报告之外公布评标结果，公布的时间为三日</w:t>
      </w:r>
      <w:r>
        <w:rPr>
          <w:rFonts w:hint="eastAsia" w:ascii="宋体" w:cs="宋体"/>
          <w:color w:val="auto"/>
          <w:sz w:val="24"/>
          <w:highlight w:val="none"/>
        </w:rPr>
        <w:t>。</w:t>
      </w:r>
    </w:p>
    <w:p w14:paraId="4E7E61E8">
      <w:pPr>
        <w:jc w:val="center"/>
        <w:rPr>
          <w:rFonts w:ascii="宋体" w:cs="宋体"/>
          <w:b/>
          <w:bCs/>
          <w:color w:val="auto"/>
          <w:sz w:val="28"/>
          <w:szCs w:val="28"/>
          <w:highlight w:val="none"/>
        </w:rPr>
      </w:pPr>
    </w:p>
    <w:p w14:paraId="4E7E61E9">
      <w:pPr>
        <w:jc w:val="center"/>
        <w:rPr>
          <w:rFonts w:ascii="宋体" w:cs="宋体"/>
          <w:b/>
          <w:bCs/>
          <w:color w:val="auto"/>
          <w:sz w:val="28"/>
          <w:szCs w:val="28"/>
          <w:highlight w:val="none"/>
        </w:rPr>
      </w:pPr>
      <w:r>
        <w:rPr>
          <w:rFonts w:hint="eastAsia" w:ascii="宋体" w:cs="宋体"/>
          <w:b/>
          <w:bCs/>
          <w:color w:val="auto"/>
          <w:sz w:val="28"/>
          <w:szCs w:val="28"/>
          <w:highlight w:val="none"/>
        </w:rPr>
        <w:t>（七）授予合同</w:t>
      </w:r>
    </w:p>
    <w:p w14:paraId="4E7E61EA">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30.</w:t>
      </w:r>
      <w:r>
        <w:rPr>
          <w:rFonts w:hint="eastAsia" w:ascii="宋体" w:cs="宋体"/>
          <w:color w:val="auto"/>
          <w:sz w:val="24"/>
          <w:highlight w:val="none"/>
        </w:rPr>
        <w:t>定标后，招标人在15日内形成书面报告，书面报告应包括下列内容：</w:t>
      </w:r>
    </w:p>
    <w:p w14:paraId="4E7E61EB">
      <w:pPr>
        <w:spacing w:line="440" w:lineRule="exact"/>
        <w:ind w:firstLine="480" w:firstLineChars="200"/>
        <w:rPr>
          <w:rFonts w:ascii="宋体" w:cs="宋体"/>
          <w:color w:val="auto"/>
          <w:sz w:val="24"/>
          <w:highlight w:val="none"/>
        </w:rPr>
      </w:pPr>
      <w:r>
        <w:rPr>
          <w:rFonts w:hint="eastAsia" w:ascii="宋体" w:cs="宋体"/>
          <w:color w:val="auto"/>
          <w:sz w:val="24"/>
          <w:highlight w:val="none"/>
        </w:rPr>
        <w:t xml:space="preserve">30.1施工招标投标的基本情况，包括施工招标范围、施工招标方式、资格审查、开标评标过程和确定中标人的方式及理由等。 </w:t>
      </w:r>
    </w:p>
    <w:p w14:paraId="4E7E61EC">
      <w:pPr>
        <w:spacing w:line="440" w:lineRule="exact"/>
        <w:ind w:firstLine="480" w:firstLineChars="200"/>
        <w:rPr>
          <w:rFonts w:ascii="宋体" w:cs="宋体"/>
          <w:color w:val="auto"/>
          <w:sz w:val="24"/>
          <w:highlight w:val="none"/>
        </w:rPr>
      </w:pPr>
      <w:r>
        <w:rPr>
          <w:rFonts w:hint="eastAsia" w:ascii="宋体" w:cs="宋体"/>
          <w:color w:val="auto"/>
          <w:sz w:val="24"/>
          <w:highlight w:val="none"/>
        </w:rPr>
        <w:t>30.2相关的文件资料包括招标公告或者投标邀请书、投标报名表、资格审查文件、招标文件、评标委员会的评标报告（应当附招标控制价组成文件）、中标人的投标文件。委托工程招标代理的，应当附工程施工招标代理委托合同。单独委托编制招标控制价的，还应当附招标控制价编制委托合同。</w:t>
      </w:r>
    </w:p>
    <w:p w14:paraId="4E7E61ED">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31.</w:t>
      </w:r>
      <w:r>
        <w:rPr>
          <w:rFonts w:hint="eastAsia" w:ascii="宋体" w:cs="宋体"/>
          <w:b/>
          <w:color w:val="auto"/>
          <w:spacing w:val="-2"/>
          <w:sz w:val="24"/>
          <w:highlight w:val="none"/>
        </w:rPr>
        <w:t>招</w:t>
      </w:r>
      <w:r>
        <w:rPr>
          <w:rFonts w:hint="eastAsia" w:ascii="宋体" w:cs="宋体"/>
          <w:b/>
          <w:color w:val="auto"/>
          <w:spacing w:val="-6"/>
          <w:sz w:val="24"/>
          <w:highlight w:val="none"/>
        </w:rPr>
        <w:t>标人和中标人应当自中标通知书发出之日起30日内</w:t>
      </w:r>
      <w:r>
        <w:rPr>
          <w:rFonts w:hint="eastAsia" w:ascii="宋体" w:cs="宋体"/>
          <w:color w:val="auto"/>
          <w:spacing w:val="-6"/>
          <w:sz w:val="24"/>
          <w:highlight w:val="none"/>
        </w:rPr>
        <w:t>，按照本招标文件和中标人的投标文件订立书面合同。招标人和中标人不得再订立背离合同实质性内容的其他协议</w:t>
      </w:r>
      <w:r>
        <w:rPr>
          <w:rFonts w:hint="eastAsia" w:ascii="宋体" w:cs="宋体"/>
          <w:color w:val="auto"/>
          <w:sz w:val="24"/>
          <w:highlight w:val="none"/>
        </w:rPr>
        <w:t>。</w:t>
      </w:r>
    </w:p>
    <w:p w14:paraId="4E7E61EE">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32.中标通知书发出后7日内</w:t>
      </w:r>
      <w:r>
        <w:rPr>
          <w:rFonts w:hint="eastAsia" w:ascii="宋体" w:cs="宋体"/>
          <w:color w:val="auto"/>
          <w:sz w:val="24"/>
          <w:highlight w:val="none"/>
        </w:rPr>
        <w:t>，合同签订前，中标人应按本须知前附表</w:t>
      </w:r>
      <w:r>
        <w:rPr>
          <w:rFonts w:hint="eastAsia" w:ascii="宋体" w:cs="宋体"/>
          <w:color w:val="auto"/>
          <w:sz w:val="24"/>
          <w:highlight w:val="none"/>
          <w:u w:val="single"/>
        </w:rPr>
        <w:t>第22项</w:t>
      </w:r>
      <w:r>
        <w:rPr>
          <w:rFonts w:hint="eastAsia" w:ascii="宋体" w:cs="宋体"/>
          <w:color w:val="auto"/>
          <w:sz w:val="24"/>
          <w:highlight w:val="none"/>
        </w:rPr>
        <w:t>规定的金额向招标人提交履约担保，担保的形式为</w:t>
      </w:r>
      <w:r>
        <w:rPr>
          <w:rFonts w:hint="eastAsia" w:ascii="宋体" w:cs="宋体"/>
          <w:b/>
          <w:color w:val="auto"/>
          <w:sz w:val="24"/>
          <w:highlight w:val="none"/>
        </w:rPr>
        <w:t>银行转账，不接受银行保函</w:t>
      </w:r>
      <w:r>
        <w:rPr>
          <w:rFonts w:hint="eastAsia" w:ascii="宋体" w:cs="宋体"/>
          <w:color w:val="auto"/>
          <w:sz w:val="24"/>
          <w:highlight w:val="none"/>
        </w:rPr>
        <w:t>。</w:t>
      </w:r>
    </w:p>
    <w:p w14:paraId="4E7E61EF">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33.</w:t>
      </w:r>
      <w:r>
        <w:rPr>
          <w:rFonts w:hint="eastAsia" w:ascii="宋体" w:cs="宋体"/>
          <w:color w:val="auto"/>
          <w:sz w:val="24"/>
          <w:highlight w:val="none"/>
        </w:rPr>
        <w:t>若中标人不能按本须知第31条、32条款的规定执行，</w:t>
      </w:r>
      <w:r>
        <w:rPr>
          <w:rFonts w:hint="eastAsia" w:ascii="宋体" w:cs="宋体"/>
          <w:b/>
          <w:color w:val="auto"/>
          <w:sz w:val="24"/>
          <w:highlight w:val="none"/>
        </w:rPr>
        <w:t>招标人将有充分的理由认为中标人放弃中标项目及签订合同的权利，</w:t>
      </w:r>
      <w:r>
        <w:rPr>
          <w:rFonts w:hint="eastAsia" w:ascii="宋体" w:cs="宋体"/>
          <w:color w:val="auto"/>
          <w:sz w:val="24"/>
          <w:highlight w:val="none"/>
        </w:rPr>
        <w:t>中标人的行为给招标人造成损失还应当予以赔偿。招标人可以按照评标委员会提出的中标候选人名单排序依次确定其他中标候选人为中标人，也可以重新招标。</w:t>
      </w:r>
    </w:p>
    <w:p w14:paraId="4E7E61F0">
      <w:pPr>
        <w:spacing w:line="440" w:lineRule="exact"/>
        <w:ind w:firstLine="482" w:firstLineChars="200"/>
        <w:rPr>
          <w:rFonts w:ascii="宋体" w:cs="宋体"/>
          <w:color w:val="auto"/>
          <w:sz w:val="24"/>
          <w:highlight w:val="none"/>
        </w:rPr>
      </w:pPr>
      <w:r>
        <w:rPr>
          <w:rFonts w:hint="eastAsia" w:ascii="宋体" w:cs="宋体"/>
          <w:b/>
          <w:color w:val="auto"/>
          <w:sz w:val="24"/>
          <w:highlight w:val="none"/>
        </w:rPr>
        <w:t xml:space="preserve">34. </w:t>
      </w:r>
      <w:r>
        <w:rPr>
          <w:rFonts w:hint="eastAsia" w:ascii="宋体" w:cs="宋体"/>
          <w:color w:val="auto"/>
          <w:sz w:val="24"/>
          <w:highlight w:val="none"/>
        </w:rPr>
        <w:t>中标人在中标后或施工期间不得随意变更中标项目负责人。如果出现特殊情况，确需更换的，应当经招标人同意。</w:t>
      </w:r>
      <w:bookmarkStart w:id="22" w:name="_Toc404174017"/>
      <w:bookmarkStart w:id="23" w:name="_Toc404159959"/>
    </w:p>
    <w:p w14:paraId="4E7E61F1">
      <w:pPr>
        <w:rPr>
          <w:rFonts w:ascii="宋体" w:cs="宋体"/>
          <w:color w:val="auto"/>
          <w:sz w:val="36"/>
          <w:szCs w:val="36"/>
          <w:highlight w:val="none"/>
        </w:rPr>
      </w:pPr>
      <w:r>
        <w:rPr>
          <w:rFonts w:hint="eastAsia" w:ascii="宋体" w:cs="宋体"/>
          <w:color w:val="auto"/>
          <w:sz w:val="36"/>
          <w:szCs w:val="36"/>
          <w:highlight w:val="none"/>
        </w:rPr>
        <w:br w:type="page"/>
      </w:r>
    </w:p>
    <w:p w14:paraId="4E7E61F2">
      <w:pPr>
        <w:pStyle w:val="2"/>
        <w:jc w:val="center"/>
        <w:rPr>
          <w:rFonts w:ascii="宋体" w:cs="宋体"/>
          <w:color w:val="auto"/>
          <w:sz w:val="32"/>
          <w:szCs w:val="32"/>
          <w:highlight w:val="none"/>
        </w:rPr>
      </w:pPr>
      <w:r>
        <w:rPr>
          <w:rFonts w:hint="eastAsia" w:ascii="宋体" w:cs="宋体"/>
          <w:color w:val="auto"/>
          <w:sz w:val="36"/>
          <w:szCs w:val="36"/>
          <w:highlight w:val="none"/>
        </w:rPr>
        <w:t>第二章 评标办法</w:t>
      </w:r>
      <w:r>
        <w:rPr>
          <w:rFonts w:hint="eastAsia" w:ascii="宋体" w:cs="宋体"/>
          <w:color w:val="auto"/>
          <w:sz w:val="32"/>
          <w:szCs w:val="32"/>
          <w:highlight w:val="none"/>
        </w:rPr>
        <w:t>（价格单因素评标办法）</w:t>
      </w:r>
      <w:bookmarkEnd w:id="22"/>
      <w:bookmarkEnd w:id="23"/>
    </w:p>
    <w:p w14:paraId="4E7E61F3">
      <w:pPr>
        <w:spacing w:line="440" w:lineRule="exact"/>
        <w:ind w:firstLine="482" w:firstLineChars="200"/>
        <w:rPr>
          <w:rFonts w:ascii="宋体" w:cs="宋体"/>
          <w:color w:val="auto"/>
          <w:kern w:val="0"/>
          <w:sz w:val="24"/>
          <w:highlight w:val="none"/>
        </w:rPr>
      </w:pPr>
      <w:r>
        <w:rPr>
          <w:rFonts w:hint="eastAsia" w:ascii="宋体" w:cs="宋体"/>
          <w:b/>
          <w:color w:val="auto"/>
          <w:sz w:val="24"/>
          <w:highlight w:val="none"/>
        </w:rPr>
        <w:t>一、</w:t>
      </w:r>
      <w:r>
        <w:rPr>
          <w:rFonts w:hint="eastAsia" w:ascii="宋体" w:cs="宋体"/>
          <w:b/>
          <w:bCs/>
          <w:color w:val="auto"/>
          <w:kern w:val="0"/>
          <w:sz w:val="24"/>
          <w:highlight w:val="none"/>
        </w:rPr>
        <w:t>本工程采用价格单因素评标办法，且采用资格后审，具体资格审查及评标细则如下：</w:t>
      </w:r>
    </w:p>
    <w:p w14:paraId="4E7E61F4">
      <w:pPr>
        <w:widowControl/>
        <w:spacing w:line="440" w:lineRule="exact"/>
        <w:ind w:firstLine="480" w:firstLineChars="200"/>
        <w:jc w:val="left"/>
        <w:rPr>
          <w:rFonts w:ascii="宋体" w:cs="宋体"/>
          <w:color w:val="auto"/>
          <w:kern w:val="0"/>
          <w:sz w:val="24"/>
          <w:highlight w:val="none"/>
        </w:rPr>
      </w:pPr>
      <w:r>
        <w:rPr>
          <w:rFonts w:hint="eastAsia" w:ascii="宋体" w:cs="宋体"/>
          <w:color w:val="auto"/>
          <w:kern w:val="0"/>
          <w:sz w:val="24"/>
          <w:highlight w:val="none"/>
        </w:rPr>
        <w:t>（一）评标程序</w:t>
      </w:r>
    </w:p>
    <w:p w14:paraId="4E7E61F5">
      <w:pPr>
        <w:widowControl/>
        <w:spacing w:line="440" w:lineRule="exact"/>
        <w:ind w:firstLine="480" w:firstLineChars="200"/>
        <w:jc w:val="left"/>
        <w:rPr>
          <w:rFonts w:ascii="宋体" w:cs="宋体"/>
          <w:color w:val="auto"/>
          <w:kern w:val="0"/>
          <w:sz w:val="24"/>
          <w:highlight w:val="none"/>
        </w:rPr>
      </w:pPr>
      <w:r>
        <w:rPr>
          <w:rFonts w:hint="eastAsia" w:ascii="宋体" w:cs="宋体"/>
          <w:color w:val="auto"/>
          <w:kern w:val="0"/>
          <w:sz w:val="24"/>
          <w:highlight w:val="none"/>
        </w:rPr>
        <w:t>资格符合性评审→商务标开标→商务标评审→确定中标候选人。</w:t>
      </w:r>
    </w:p>
    <w:p w14:paraId="4E7E61F6">
      <w:pPr>
        <w:widowControl/>
        <w:spacing w:line="440" w:lineRule="exact"/>
        <w:ind w:firstLine="480" w:firstLineChars="200"/>
        <w:jc w:val="left"/>
        <w:rPr>
          <w:rFonts w:ascii="宋体" w:cs="宋体"/>
          <w:color w:val="auto"/>
          <w:kern w:val="0"/>
          <w:sz w:val="24"/>
          <w:highlight w:val="none"/>
        </w:rPr>
      </w:pPr>
      <w:r>
        <w:rPr>
          <w:rFonts w:hint="eastAsia" w:ascii="宋体" w:cs="宋体"/>
          <w:color w:val="auto"/>
          <w:kern w:val="0"/>
          <w:sz w:val="24"/>
          <w:highlight w:val="none"/>
        </w:rPr>
        <w:t>（二）评审标准</w:t>
      </w:r>
    </w:p>
    <w:p w14:paraId="4E7E61F7">
      <w:pPr>
        <w:widowControl/>
        <w:spacing w:line="440" w:lineRule="exact"/>
        <w:ind w:firstLine="480" w:firstLineChars="200"/>
        <w:jc w:val="left"/>
        <w:rPr>
          <w:rFonts w:ascii="宋体" w:cs="宋体"/>
          <w:color w:val="auto"/>
          <w:kern w:val="0"/>
          <w:sz w:val="24"/>
          <w:highlight w:val="none"/>
        </w:rPr>
      </w:pPr>
      <w:r>
        <w:rPr>
          <w:rFonts w:hint="eastAsia" w:ascii="宋体" w:cs="宋体"/>
          <w:color w:val="auto"/>
          <w:kern w:val="0"/>
          <w:sz w:val="24"/>
          <w:highlight w:val="none"/>
        </w:rPr>
        <w:t>评标委员会将按评审标准、资格评审标准的合格条件，对各投标人递交的资格审查书面资料进行评审，并公布资格审查合格者名单。</w:t>
      </w:r>
    </w:p>
    <w:p w14:paraId="4E7E61F8">
      <w:pPr>
        <w:widowControl/>
        <w:spacing w:line="440" w:lineRule="exact"/>
        <w:ind w:firstLine="480" w:firstLineChars="200"/>
        <w:jc w:val="left"/>
        <w:rPr>
          <w:rFonts w:ascii="宋体" w:cs="宋体"/>
          <w:color w:val="auto"/>
          <w:kern w:val="0"/>
          <w:sz w:val="24"/>
          <w:highlight w:val="none"/>
        </w:rPr>
      </w:pPr>
      <w:r>
        <w:rPr>
          <w:rFonts w:hint="eastAsia" w:ascii="宋体" w:cs="宋体"/>
          <w:color w:val="auto"/>
          <w:kern w:val="0"/>
          <w:sz w:val="24"/>
          <w:highlight w:val="none"/>
        </w:rPr>
        <w:t>1、资格符合性评审</w:t>
      </w:r>
    </w:p>
    <w:p w14:paraId="4E7E61F9">
      <w:pPr>
        <w:widowControl/>
        <w:spacing w:line="440" w:lineRule="exact"/>
        <w:ind w:firstLine="480" w:firstLineChars="200"/>
        <w:jc w:val="center"/>
        <w:rPr>
          <w:rFonts w:ascii="宋体" w:cs="宋体"/>
          <w:color w:val="auto"/>
          <w:kern w:val="0"/>
          <w:sz w:val="24"/>
          <w:highlight w:val="none"/>
        </w:rPr>
      </w:pPr>
      <w:r>
        <w:rPr>
          <w:rFonts w:hint="eastAsia" w:ascii="宋体" w:cs="宋体"/>
          <w:color w:val="auto"/>
          <w:kern w:val="0"/>
          <w:sz w:val="24"/>
          <w:highlight w:val="none"/>
        </w:rPr>
        <w:t>资格审查标准汇总表</w:t>
      </w:r>
    </w:p>
    <w:tbl>
      <w:tblPr>
        <w:tblStyle w:val="35"/>
        <w:tblW w:w="9569" w:type="dxa"/>
        <w:tblCellSpacing w:w="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1701"/>
        <w:gridCol w:w="3686"/>
        <w:gridCol w:w="3473"/>
      </w:tblGrid>
      <w:tr w14:paraId="4E7E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blHeader/>
          <w:tblCellSpacing w:w="0" w:type="dxa"/>
        </w:trPr>
        <w:tc>
          <w:tcPr>
            <w:tcW w:w="709" w:type="dxa"/>
            <w:vAlign w:val="center"/>
          </w:tcPr>
          <w:p w14:paraId="4E7E61FA">
            <w:pPr>
              <w:widowControl/>
              <w:ind w:left="42" w:leftChars="20" w:right="42" w:rightChars="20"/>
              <w:jc w:val="center"/>
              <w:rPr>
                <w:rFonts w:ascii="宋体" w:cs="宋体"/>
                <w:b/>
                <w:color w:val="auto"/>
                <w:kern w:val="0"/>
                <w:sz w:val="24"/>
                <w:highlight w:val="none"/>
              </w:rPr>
            </w:pPr>
            <w:bookmarkStart w:id="24" w:name="OLE_LINK2"/>
            <w:r>
              <w:rPr>
                <w:rFonts w:hint="eastAsia" w:ascii="宋体" w:cs="宋体"/>
                <w:b/>
                <w:color w:val="auto"/>
                <w:kern w:val="0"/>
                <w:sz w:val="24"/>
                <w:highlight w:val="none"/>
              </w:rPr>
              <w:t>序号</w:t>
            </w:r>
          </w:p>
        </w:tc>
        <w:tc>
          <w:tcPr>
            <w:tcW w:w="1701" w:type="dxa"/>
            <w:vAlign w:val="center"/>
          </w:tcPr>
          <w:p w14:paraId="4E7E61FB">
            <w:pPr>
              <w:widowControl/>
              <w:ind w:left="42" w:leftChars="20" w:right="42" w:rightChars="20"/>
              <w:jc w:val="center"/>
              <w:rPr>
                <w:rFonts w:ascii="宋体" w:cs="宋体"/>
                <w:b/>
                <w:color w:val="auto"/>
                <w:kern w:val="0"/>
                <w:sz w:val="24"/>
                <w:highlight w:val="none"/>
              </w:rPr>
            </w:pPr>
            <w:r>
              <w:rPr>
                <w:rFonts w:hint="eastAsia" w:ascii="宋体" w:cs="宋体"/>
                <w:b/>
                <w:color w:val="auto"/>
                <w:kern w:val="0"/>
                <w:sz w:val="24"/>
                <w:highlight w:val="none"/>
              </w:rPr>
              <w:t>项目内容</w:t>
            </w:r>
          </w:p>
        </w:tc>
        <w:tc>
          <w:tcPr>
            <w:tcW w:w="3686" w:type="dxa"/>
            <w:vAlign w:val="center"/>
          </w:tcPr>
          <w:p w14:paraId="4E7E61FC">
            <w:pPr>
              <w:widowControl/>
              <w:ind w:left="42" w:leftChars="20" w:right="42" w:rightChars="20"/>
              <w:jc w:val="center"/>
              <w:rPr>
                <w:rFonts w:ascii="宋体" w:cs="宋体"/>
                <w:b/>
                <w:color w:val="auto"/>
                <w:kern w:val="0"/>
                <w:sz w:val="24"/>
                <w:highlight w:val="none"/>
              </w:rPr>
            </w:pPr>
            <w:r>
              <w:rPr>
                <w:rFonts w:hint="eastAsia" w:ascii="宋体" w:cs="宋体"/>
                <w:b/>
                <w:color w:val="auto"/>
                <w:kern w:val="0"/>
                <w:sz w:val="24"/>
                <w:highlight w:val="none"/>
              </w:rPr>
              <w:t>合格条件</w:t>
            </w:r>
          </w:p>
        </w:tc>
        <w:tc>
          <w:tcPr>
            <w:tcW w:w="3473" w:type="dxa"/>
            <w:vAlign w:val="center"/>
          </w:tcPr>
          <w:p w14:paraId="4E7E61FD">
            <w:pPr>
              <w:widowControl/>
              <w:ind w:left="42" w:leftChars="20" w:right="42" w:rightChars="20"/>
              <w:jc w:val="center"/>
              <w:rPr>
                <w:rFonts w:ascii="宋体" w:cs="宋体"/>
                <w:b/>
                <w:color w:val="auto"/>
                <w:kern w:val="0"/>
                <w:sz w:val="24"/>
                <w:highlight w:val="none"/>
              </w:rPr>
            </w:pPr>
            <w:r>
              <w:rPr>
                <w:rFonts w:hint="eastAsia" w:ascii="宋体" w:cs="宋体"/>
                <w:b/>
                <w:color w:val="auto"/>
                <w:kern w:val="0"/>
                <w:sz w:val="24"/>
                <w:highlight w:val="none"/>
              </w:rPr>
              <w:t>投标人需提供的材料</w:t>
            </w:r>
          </w:p>
        </w:tc>
      </w:tr>
      <w:bookmarkEnd w:id="24"/>
      <w:tr w14:paraId="4E7E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blCellSpacing w:w="0" w:type="dxa"/>
        </w:trPr>
        <w:tc>
          <w:tcPr>
            <w:tcW w:w="709" w:type="dxa"/>
            <w:vAlign w:val="center"/>
          </w:tcPr>
          <w:p w14:paraId="4E7E61FF">
            <w:pPr>
              <w:widowControl/>
              <w:spacing w:line="0" w:lineRule="atLeas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1</w:t>
            </w:r>
          </w:p>
        </w:tc>
        <w:tc>
          <w:tcPr>
            <w:tcW w:w="1701" w:type="dxa"/>
            <w:vAlign w:val="center"/>
          </w:tcPr>
          <w:p w14:paraId="4E7E6200">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法定代表人身份证明书、授权委托书（如有授权）</w:t>
            </w:r>
          </w:p>
        </w:tc>
        <w:tc>
          <w:tcPr>
            <w:tcW w:w="3686" w:type="dxa"/>
            <w:vAlign w:val="center"/>
          </w:tcPr>
          <w:p w14:paraId="4E7E6201">
            <w:pPr>
              <w:widowControl/>
              <w:spacing w:line="0" w:lineRule="atLeast"/>
              <w:ind w:left="42" w:leftChars="20" w:right="42" w:rightChars="20"/>
              <w:rPr>
                <w:rFonts w:ascii="宋体" w:cs="宋体"/>
                <w:color w:val="auto"/>
                <w:kern w:val="0"/>
                <w:sz w:val="24"/>
                <w:highlight w:val="none"/>
              </w:rPr>
            </w:pPr>
            <w:r>
              <w:rPr>
                <w:rFonts w:hint="eastAsia" w:ascii="宋体" w:cs="宋体"/>
                <w:color w:val="auto"/>
                <w:kern w:val="0"/>
                <w:sz w:val="24"/>
                <w:highlight w:val="none"/>
              </w:rPr>
              <w:t>具有有效的法定代表人身份证明书；</w:t>
            </w:r>
          </w:p>
          <w:p w14:paraId="4E7E6202">
            <w:pPr>
              <w:widowControl/>
              <w:spacing w:line="0" w:lineRule="atLeast"/>
              <w:ind w:left="42" w:leftChars="20" w:right="42" w:rightChars="20"/>
              <w:rPr>
                <w:rFonts w:ascii="宋体" w:cs="宋体"/>
                <w:color w:val="auto"/>
                <w:kern w:val="0"/>
                <w:sz w:val="24"/>
                <w:highlight w:val="none"/>
              </w:rPr>
            </w:pPr>
            <w:r>
              <w:rPr>
                <w:rFonts w:hint="eastAsia" w:ascii="宋体" w:cs="宋体"/>
                <w:color w:val="auto"/>
                <w:kern w:val="0"/>
                <w:sz w:val="24"/>
                <w:highlight w:val="none"/>
              </w:rPr>
              <w:t>具有有效的授权委托书（如有授权）。</w:t>
            </w:r>
          </w:p>
        </w:tc>
        <w:tc>
          <w:tcPr>
            <w:tcW w:w="3473" w:type="dxa"/>
            <w:vAlign w:val="center"/>
          </w:tcPr>
          <w:p w14:paraId="4E7E6203">
            <w:pPr>
              <w:widowControl/>
              <w:spacing w:line="0" w:lineRule="atLeast"/>
              <w:ind w:left="42" w:leftChars="20" w:right="42" w:rightChars="20"/>
              <w:rPr>
                <w:rFonts w:ascii="宋体" w:cs="宋体"/>
                <w:color w:val="auto"/>
                <w:kern w:val="0"/>
                <w:sz w:val="24"/>
                <w:highlight w:val="none"/>
              </w:rPr>
            </w:pPr>
            <w:r>
              <w:rPr>
                <w:rFonts w:hint="eastAsia" w:ascii="宋体" w:cs="宋体"/>
                <w:color w:val="auto"/>
                <w:kern w:val="0"/>
                <w:sz w:val="24"/>
                <w:highlight w:val="none"/>
              </w:rPr>
              <w:t>有效的法定代表人身份证明书原件（格式见第七章）；</w:t>
            </w:r>
          </w:p>
          <w:p w14:paraId="4E7E6204">
            <w:pPr>
              <w:widowControl/>
              <w:spacing w:line="0" w:lineRule="atLeast"/>
              <w:ind w:left="42" w:leftChars="20" w:right="42" w:rightChars="20"/>
              <w:rPr>
                <w:rFonts w:ascii="宋体" w:cs="宋体"/>
                <w:color w:val="auto"/>
                <w:kern w:val="0"/>
                <w:sz w:val="24"/>
                <w:highlight w:val="none"/>
              </w:rPr>
            </w:pPr>
            <w:r>
              <w:rPr>
                <w:rFonts w:hint="eastAsia" w:ascii="宋体" w:cs="宋体"/>
                <w:color w:val="auto"/>
                <w:kern w:val="0"/>
                <w:sz w:val="24"/>
                <w:highlight w:val="none"/>
              </w:rPr>
              <w:t>有效的授权委托书原件（如有授权）（格式见第七章）；</w:t>
            </w:r>
          </w:p>
        </w:tc>
      </w:tr>
      <w:tr w14:paraId="4E7E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blCellSpacing w:w="0" w:type="dxa"/>
        </w:trPr>
        <w:tc>
          <w:tcPr>
            <w:tcW w:w="709" w:type="dxa"/>
            <w:vAlign w:val="center"/>
          </w:tcPr>
          <w:p w14:paraId="4E7E6206">
            <w:pPr>
              <w:widowControl/>
              <w:spacing w:line="0" w:lineRule="atLeas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2</w:t>
            </w:r>
          </w:p>
        </w:tc>
        <w:tc>
          <w:tcPr>
            <w:tcW w:w="1701" w:type="dxa"/>
            <w:vAlign w:val="center"/>
          </w:tcPr>
          <w:p w14:paraId="4E7E6207">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具有独立订立合同的能力</w:t>
            </w:r>
          </w:p>
        </w:tc>
        <w:tc>
          <w:tcPr>
            <w:tcW w:w="3686" w:type="dxa"/>
            <w:vAlign w:val="center"/>
          </w:tcPr>
          <w:p w14:paraId="4E7E6208">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有效的管理部门颁发的法人营业执照</w:t>
            </w:r>
          </w:p>
        </w:tc>
        <w:tc>
          <w:tcPr>
            <w:tcW w:w="3473" w:type="dxa"/>
            <w:vAlign w:val="center"/>
          </w:tcPr>
          <w:p w14:paraId="4E7E6209">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有效的企业营业执照</w:t>
            </w:r>
          </w:p>
        </w:tc>
      </w:tr>
      <w:tr w14:paraId="4E7E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blCellSpacing w:w="0" w:type="dxa"/>
        </w:trPr>
        <w:tc>
          <w:tcPr>
            <w:tcW w:w="709" w:type="dxa"/>
            <w:vAlign w:val="center"/>
          </w:tcPr>
          <w:p w14:paraId="4E7E620B">
            <w:pPr>
              <w:widowControl/>
              <w:spacing w:line="0" w:lineRule="atLeas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3</w:t>
            </w:r>
          </w:p>
        </w:tc>
        <w:tc>
          <w:tcPr>
            <w:tcW w:w="1701" w:type="dxa"/>
            <w:vAlign w:val="center"/>
          </w:tcPr>
          <w:p w14:paraId="4E7E620C">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企业资质类别等级</w:t>
            </w:r>
          </w:p>
        </w:tc>
        <w:tc>
          <w:tcPr>
            <w:tcW w:w="3686" w:type="dxa"/>
            <w:vAlign w:val="center"/>
          </w:tcPr>
          <w:p w14:paraId="4E7E620D">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建筑工程施工总承包叁级及以上资质</w:t>
            </w:r>
          </w:p>
        </w:tc>
        <w:tc>
          <w:tcPr>
            <w:tcW w:w="3473" w:type="dxa"/>
            <w:vAlign w:val="center"/>
          </w:tcPr>
          <w:p w14:paraId="4E7E620E">
            <w:pPr>
              <w:widowControl/>
              <w:spacing w:line="0" w:lineRule="atLeast"/>
              <w:ind w:left="42" w:leftChars="20" w:right="42" w:rightChars="20"/>
              <w:jc w:val="left"/>
              <w:rPr>
                <w:rFonts w:ascii="宋体" w:cs="宋体"/>
                <w:color w:val="auto"/>
                <w:kern w:val="0"/>
                <w:sz w:val="24"/>
                <w:highlight w:val="none"/>
              </w:rPr>
            </w:pPr>
            <w:r>
              <w:rPr>
                <w:rFonts w:cs="宋体" w:asciiTheme="minorEastAsia" w:hAnsiTheme="minorEastAsia" w:eastAsiaTheme="minorEastAsia"/>
                <w:bCs/>
                <w:color w:val="auto"/>
                <w:kern w:val="0"/>
                <w:sz w:val="24"/>
                <w:highlight w:val="none"/>
              </w:rPr>
              <w:t>有效</w:t>
            </w:r>
            <w:r>
              <w:rPr>
                <w:rFonts w:hint="eastAsia" w:cs="宋体" w:asciiTheme="minorEastAsia" w:hAnsiTheme="minorEastAsia" w:eastAsiaTheme="minorEastAsia"/>
                <w:bCs/>
                <w:color w:val="auto"/>
                <w:kern w:val="0"/>
                <w:sz w:val="24"/>
                <w:highlight w:val="none"/>
              </w:rPr>
              <w:t>期内的</w:t>
            </w:r>
            <w:r>
              <w:rPr>
                <w:rFonts w:cs="宋体" w:asciiTheme="minorEastAsia" w:hAnsiTheme="minorEastAsia" w:eastAsiaTheme="minorEastAsia"/>
                <w:bCs/>
                <w:color w:val="auto"/>
                <w:kern w:val="0"/>
                <w:sz w:val="24"/>
                <w:highlight w:val="none"/>
              </w:rPr>
              <w:t>企业资质证书</w:t>
            </w:r>
          </w:p>
        </w:tc>
      </w:tr>
      <w:tr w14:paraId="4E7E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blCellSpacing w:w="0" w:type="dxa"/>
        </w:trPr>
        <w:tc>
          <w:tcPr>
            <w:tcW w:w="709" w:type="dxa"/>
            <w:vAlign w:val="center"/>
          </w:tcPr>
          <w:p w14:paraId="4E7E6210">
            <w:pPr>
              <w:widowControl/>
              <w:spacing w:line="0" w:lineRule="atLeas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4</w:t>
            </w:r>
          </w:p>
        </w:tc>
        <w:tc>
          <w:tcPr>
            <w:tcW w:w="1701" w:type="dxa"/>
            <w:vAlign w:val="center"/>
          </w:tcPr>
          <w:p w14:paraId="4E7E6211">
            <w:pPr>
              <w:widowControl/>
              <w:spacing w:line="0" w:lineRule="atLeast"/>
              <w:ind w:left="42" w:leftChars="20" w:right="42" w:rightChars="20"/>
              <w:jc w:val="left"/>
              <w:rPr>
                <w:rFonts w:ascii="宋体" w:cs="宋体"/>
                <w:color w:val="auto"/>
                <w:kern w:val="0"/>
                <w:sz w:val="24"/>
                <w:highlight w:val="none"/>
              </w:rPr>
            </w:pPr>
            <w:r>
              <w:rPr>
                <w:rFonts w:cs="宋体" w:asciiTheme="minorEastAsia" w:hAnsiTheme="minorEastAsia" w:eastAsiaTheme="minorEastAsia"/>
                <w:bCs/>
                <w:color w:val="auto"/>
                <w:kern w:val="0"/>
                <w:sz w:val="24"/>
                <w:highlight w:val="none"/>
              </w:rPr>
              <w:t>企业安全生产许可证</w:t>
            </w:r>
          </w:p>
        </w:tc>
        <w:tc>
          <w:tcPr>
            <w:tcW w:w="3686" w:type="dxa"/>
            <w:vAlign w:val="center"/>
          </w:tcPr>
          <w:p w14:paraId="4E7E6212">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企业具备安全生产条件，并取得安全生产许可证。</w:t>
            </w:r>
          </w:p>
        </w:tc>
        <w:tc>
          <w:tcPr>
            <w:tcW w:w="3473" w:type="dxa"/>
            <w:vAlign w:val="center"/>
          </w:tcPr>
          <w:p w14:paraId="4E7E6213">
            <w:pPr>
              <w:widowControl/>
              <w:spacing w:line="0" w:lineRule="atLeast"/>
              <w:ind w:left="42" w:leftChars="20" w:right="42" w:rightChars="20"/>
              <w:jc w:val="left"/>
              <w:rPr>
                <w:rFonts w:ascii="宋体" w:cs="宋体"/>
                <w:color w:val="auto"/>
                <w:kern w:val="0"/>
                <w:sz w:val="24"/>
                <w:highlight w:val="none"/>
              </w:rPr>
            </w:pPr>
            <w:r>
              <w:rPr>
                <w:rFonts w:hint="eastAsia" w:cs="宋体" w:asciiTheme="minorEastAsia" w:hAnsiTheme="minorEastAsia" w:eastAsiaTheme="minorEastAsia"/>
                <w:bCs/>
                <w:color w:val="auto"/>
                <w:kern w:val="0"/>
                <w:sz w:val="24"/>
                <w:highlight w:val="none"/>
              </w:rPr>
              <w:t>有效期内的</w:t>
            </w:r>
            <w:r>
              <w:rPr>
                <w:rFonts w:cs="宋体" w:asciiTheme="minorEastAsia" w:hAnsiTheme="minorEastAsia" w:eastAsiaTheme="minorEastAsia"/>
                <w:bCs/>
                <w:color w:val="auto"/>
                <w:kern w:val="0"/>
                <w:sz w:val="24"/>
                <w:highlight w:val="none"/>
              </w:rPr>
              <w:t>安全生产许可证</w:t>
            </w:r>
          </w:p>
        </w:tc>
      </w:tr>
      <w:tr w14:paraId="4E7E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blCellSpacing w:w="0" w:type="dxa"/>
        </w:trPr>
        <w:tc>
          <w:tcPr>
            <w:tcW w:w="709" w:type="dxa"/>
            <w:vAlign w:val="center"/>
          </w:tcPr>
          <w:p w14:paraId="4E7E6215">
            <w:pPr>
              <w:widowControl/>
              <w:spacing w:line="0" w:lineRule="atLeas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5</w:t>
            </w:r>
          </w:p>
        </w:tc>
        <w:tc>
          <w:tcPr>
            <w:tcW w:w="1701" w:type="dxa"/>
            <w:vAlign w:val="center"/>
          </w:tcPr>
          <w:p w14:paraId="4E7E6216">
            <w:pPr>
              <w:widowControl/>
              <w:spacing w:line="0" w:lineRule="atLeast"/>
              <w:ind w:left="42" w:leftChars="20" w:right="42" w:rightChars="20"/>
              <w:jc w:val="left"/>
              <w:rPr>
                <w:rFonts w:cs="宋体" w:asciiTheme="minorEastAsia" w:hAnsiTheme="minorEastAsia" w:eastAsiaTheme="minorEastAsia"/>
                <w:bCs/>
                <w:color w:val="auto"/>
                <w:kern w:val="0"/>
                <w:sz w:val="24"/>
                <w:highlight w:val="none"/>
              </w:rPr>
            </w:pPr>
            <w:r>
              <w:rPr>
                <w:rFonts w:hint="eastAsia" w:cs="宋体" w:asciiTheme="minorEastAsia" w:hAnsiTheme="minorEastAsia" w:eastAsiaTheme="minorEastAsia"/>
                <w:bCs/>
                <w:color w:val="auto"/>
                <w:kern w:val="0"/>
                <w:sz w:val="24"/>
                <w:highlight w:val="none"/>
              </w:rPr>
              <w:t>拟派项目负责人资质等级</w:t>
            </w:r>
          </w:p>
        </w:tc>
        <w:tc>
          <w:tcPr>
            <w:tcW w:w="3686" w:type="dxa"/>
            <w:vAlign w:val="center"/>
          </w:tcPr>
          <w:p w14:paraId="4E7E6217">
            <w:pPr>
              <w:widowControl/>
              <w:spacing w:line="0" w:lineRule="atLeast"/>
              <w:ind w:left="42" w:leftChars="20" w:right="42" w:rightChars="20"/>
              <w:jc w:val="left"/>
              <w:rPr>
                <w:rFonts w:ascii="宋体" w:cs="宋体"/>
                <w:color w:val="auto"/>
                <w:kern w:val="0"/>
                <w:sz w:val="24"/>
                <w:highlight w:val="none"/>
              </w:rPr>
            </w:pPr>
            <w:r>
              <w:rPr>
                <w:rFonts w:hint="eastAsia" w:cs="宋体" w:asciiTheme="minorEastAsia" w:hAnsiTheme="minorEastAsia" w:eastAsiaTheme="minorEastAsia"/>
                <w:bCs/>
                <w:color w:val="auto"/>
                <w:kern w:val="0"/>
                <w:sz w:val="24"/>
                <w:highlight w:val="none"/>
              </w:rPr>
              <w:t>建筑工程贰级及以上注册建造师资质，具备有效的安全生产考核合格证书(B证)。</w:t>
            </w:r>
          </w:p>
        </w:tc>
        <w:tc>
          <w:tcPr>
            <w:tcW w:w="3473" w:type="dxa"/>
            <w:vAlign w:val="center"/>
          </w:tcPr>
          <w:p w14:paraId="4E7E6218">
            <w:pPr>
              <w:widowControl/>
              <w:rPr>
                <w:rFonts w:cs="宋体" w:asciiTheme="minorEastAsia" w:hAnsiTheme="minorEastAsia" w:eastAsiaTheme="minorEastAsia"/>
                <w:bCs/>
                <w:color w:val="auto"/>
                <w:kern w:val="0"/>
                <w:sz w:val="24"/>
                <w:highlight w:val="none"/>
              </w:rPr>
            </w:pPr>
            <w:r>
              <w:rPr>
                <w:rFonts w:hint="eastAsia" w:cs="宋体" w:asciiTheme="minorEastAsia" w:hAnsiTheme="minorEastAsia" w:eastAsiaTheme="minorEastAsia"/>
                <w:bCs/>
                <w:color w:val="auto"/>
                <w:kern w:val="0"/>
                <w:sz w:val="24"/>
                <w:highlight w:val="none"/>
              </w:rPr>
              <w:t>有效期内的</w:t>
            </w:r>
            <w:r>
              <w:rPr>
                <w:rFonts w:cs="宋体" w:asciiTheme="minorEastAsia" w:hAnsiTheme="minorEastAsia" w:eastAsiaTheme="minorEastAsia"/>
                <w:bCs/>
                <w:color w:val="auto"/>
                <w:kern w:val="0"/>
                <w:sz w:val="24"/>
                <w:highlight w:val="none"/>
              </w:rPr>
              <w:t>建造师注册证书</w:t>
            </w:r>
            <w:r>
              <w:rPr>
                <w:rFonts w:hint="eastAsia" w:cs="宋体" w:asciiTheme="minorEastAsia" w:hAnsiTheme="minorEastAsia" w:eastAsiaTheme="minorEastAsia"/>
                <w:bCs/>
                <w:color w:val="auto"/>
                <w:kern w:val="0"/>
                <w:sz w:val="24"/>
                <w:highlight w:val="none"/>
              </w:rPr>
              <w:t>、</w:t>
            </w:r>
            <w:r>
              <w:rPr>
                <w:rFonts w:cs="宋体" w:asciiTheme="minorEastAsia" w:hAnsiTheme="minorEastAsia" w:eastAsiaTheme="minorEastAsia"/>
                <w:bCs/>
                <w:color w:val="auto"/>
                <w:kern w:val="0"/>
                <w:sz w:val="24"/>
                <w:highlight w:val="none"/>
              </w:rPr>
              <w:t>安全生产考核证</w:t>
            </w:r>
            <w:r>
              <w:rPr>
                <w:rFonts w:hint="eastAsia" w:cs="宋体" w:asciiTheme="minorEastAsia" w:hAnsiTheme="minorEastAsia" w:eastAsiaTheme="minorEastAsia"/>
                <w:bCs/>
                <w:color w:val="auto"/>
                <w:kern w:val="0"/>
                <w:sz w:val="24"/>
                <w:highlight w:val="none"/>
              </w:rPr>
              <w:t>(B证) 特别提醒：本工程投标人拟派项目负责人为一级注册建造师的，必须根据《办公厅关于全面实行一级建造师电子注册证书的通知》（建办市〔2021〕40号）文件要求使用并提供电子证书，如未按文件要求提供电子证书，该电子证书无效，视为项目负责人的资格不符合要求。（建办市〔2021〕40号）文件内容详见本章附件。</w:t>
            </w:r>
          </w:p>
        </w:tc>
      </w:tr>
      <w:tr w14:paraId="4E7E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tblCellSpacing w:w="0" w:type="dxa"/>
        </w:trPr>
        <w:tc>
          <w:tcPr>
            <w:tcW w:w="709" w:type="dxa"/>
            <w:vAlign w:val="center"/>
          </w:tcPr>
          <w:p w14:paraId="4E7E621A">
            <w:pPr>
              <w:widowControl/>
              <w:spacing w:line="0" w:lineRule="atLeas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6</w:t>
            </w:r>
          </w:p>
        </w:tc>
        <w:tc>
          <w:tcPr>
            <w:tcW w:w="1701" w:type="dxa"/>
            <w:vAlign w:val="center"/>
          </w:tcPr>
          <w:p w14:paraId="4E7E621B">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拟派项目负责人及授权委托人</w:t>
            </w:r>
          </w:p>
        </w:tc>
        <w:tc>
          <w:tcPr>
            <w:tcW w:w="3686" w:type="dxa"/>
            <w:vAlign w:val="center"/>
          </w:tcPr>
          <w:p w14:paraId="4E7E621C">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拟派项目负责人及授权委托人均为投标企业正式人员</w:t>
            </w:r>
          </w:p>
        </w:tc>
        <w:tc>
          <w:tcPr>
            <w:tcW w:w="3473" w:type="dxa"/>
            <w:vAlign w:val="center"/>
          </w:tcPr>
          <w:p w14:paraId="4E7E621D">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sz w:val="24"/>
                <w:highlight w:val="none"/>
              </w:rPr>
              <w:t>提供①与投标人签订的有效劳动合同复印件；②社保机构出具并盖章的投标人为其缴纳近六个月任意一个月的养老保险缴费清单复印件。</w:t>
            </w:r>
          </w:p>
        </w:tc>
      </w:tr>
      <w:tr w14:paraId="4E7E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tblCellSpacing w:w="0" w:type="dxa"/>
        </w:trPr>
        <w:tc>
          <w:tcPr>
            <w:tcW w:w="709" w:type="dxa"/>
            <w:vAlign w:val="center"/>
          </w:tcPr>
          <w:p w14:paraId="4E7E621F">
            <w:pPr>
              <w:widowControl/>
              <w:spacing w:line="0" w:lineRule="atLeast"/>
              <w:ind w:left="42" w:leftChars="20" w:right="42" w:rightChars="20"/>
              <w:jc w:val="center"/>
              <w:rPr>
                <w:rFonts w:ascii="宋体" w:cs="宋体"/>
                <w:color w:val="auto"/>
                <w:kern w:val="0"/>
                <w:sz w:val="24"/>
                <w:highlight w:val="none"/>
              </w:rPr>
            </w:pPr>
            <w:r>
              <w:rPr>
                <w:rFonts w:hint="eastAsia" w:ascii="宋体" w:cs="宋体"/>
                <w:color w:val="auto"/>
                <w:kern w:val="0"/>
                <w:sz w:val="24"/>
                <w:highlight w:val="none"/>
              </w:rPr>
              <w:t>7</w:t>
            </w:r>
          </w:p>
        </w:tc>
        <w:tc>
          <w:tcPr>
            <w:tcW w:w="1701" w:type="dxa"/>
            <w:vAlign w:val="center"/>
          </w:tcPr>
          <w:p w14:paraId="4E7E6220">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企业业绩</w:t>
            </w:r>
          </w:p>
        </w:tc>
        <w:tc>
          <w:tcPr>
            <w:tcW w:w="3686" w:type="dxa"/>
            <w:vAlign w:val="center"/>
          </w:tcPr>
          <w:p w14:paraId="4E7E6221">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sz w:val="24"/>
                <w:highlight w:val="none"/>
              </w:rPr>
              <w:t>自20</w:t>
            </w:r>
            <w:r>
              <w:rPr>
                <w:rFonts w:ascii="宋体" w:cs="宋体"/>
                <w:color w:val="auto"/>
                <w:sz w:val="24"/>
                <w:highlight w:val="none"/>
              </w:rPr>
              <w:t>23</w:t>
            </w:r>
            <w:r>
              <w:rPr>
                <w:rFonts w:hint="eastAsia" w:ascii="宋体" w:cs="宋体"/>
                <w:color w:val="auto"/>
                <w:sz w:val="24"/>
                <w:highlight w:val="none"/>
              </w:rPr>
              <w:t>年1月1日以来（以合同签订时间为准）投标企业承担过合同额在4万元及以上</w:t>
            </w:r>
            <w:r>
              <w:rPr>
                <w:rFonts w:hint="eastAsia" w:ascii="宋体" w:cs="宋体"/>
                <w:color w:val="auto"/>
                <w:sz w:val="24"/>
                <w:highlight w:val="none"/>
                <w:lang w:val="en-US" w:eastAsia="zh-CN"/>
              </w:rPr>
              <w:t>的</w:t>
            </w:r>
            <w:r>
              <w:rPr>
                <w:rFonts w:hint="eastAsia" w:ascii="宋体" w:cs="宋体"/>
                <w:color w:val="auto"/>
                <w:sz w:val="24"/>
                <w:highlight w:val="none"/>
              </w:rPr>
              <w:t>修缮或改造工程施工业绩</w:t>
            </w:r>
          </w:p>
        </w:tc>
        <w:tc>
          <w:tcPr>
            <w:tcW w:w="3473" w:type="dxa"/>
            <w:vAlign w:val="center"/>
          </w:tcPr>
          <w:p w14:paraId="4E7E6222">
            <w:pPr>
              <w:widowControl/>
              <w:spacing w:line="0" w:lineRule="atLeast"/>
              <w:ind w:left="42" w:leftChars="20" w:right="42" w:rightChars="20"/>
              <w:jc w:val="left"/>
              <w:rPr>
                <w:rFonts w:ascii="宋体" w:cs="宋体"/>
                <w:color w:val="auto"/>
                <w:sz w:val="24"/>
                <w:highlight w:val="none"/>
              </w:rPr>
            </w:pPr>
            <w:r>
              <w:rPr>
                <w:rFonts w:hint="eastAsia" w:ascii="宋体" w:cs="宋体"/>
                <w:color w:val="auto"/>
                <w:sz w:val="24"/>
                <w:highlight w:val="none"/>
              </w:rPr>
              <w:t>投标单位提供1份自20</w:t>
            </w:r>
            <w:r>
              <w:rPr>
                <w:rFonts w:ascii="宋体" w:cs="宋体"/>
                <w:color w:val="auto"/>
                <w:sz w:val="24"/>
                <w:highlight w:val="none"/>
              </w:rPr>
              <w:t>23</w:t>
            </w:r>
            <w:r>
              <w:rPr>
                <w:rFonts w:hint="eastAsia" w:ascii="宋体" w:cs="宋体"/>
                <w:color w:val="auto"/>
                <w:sz w:val="24"/>
                <w:highlight w:val="none"/>
              </w:rPr>
              <w:t>年1月1日以来（以合同签订时间为准）投标企业承担过合同额在4万元及以上</w:t>
            </w:r>
            <w:r>
              <w:rPr>
                <w:rFonts w:hint="eastAsia" w:ascii="宋体" w:cs="宋体"/>
                <w:color w:val="auto"/>
                <w:sz w:val="24"/>
                <w:highlight w:val="none"/>
                <w:lang w:val="en-US" w:eastAsia="zh-CN"/>
              </w:rPr>
              <w:t>的</w:t>
            </w:r>
            <w:r>
              <w:rPr>
                <w:rFonts w:hint="eastAsia" w:ascii="宋体" w:cs="宋体"/>
                <w:color w:val="auto"/>
                <w:sz w:val="24"/>
                <w:highlight w:val="none"/>
              </w:rPr>
              <w:t>修缮或改造工程施工业绩。</w:t>
            </w:r>
          </w:p>
        </w:tc>
      </w:tr>
      <w:tr w14:paraId="4E7E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1" w:hRule="atLeast"/>
          <w:tblCellSpacing w:w="0" w:type="dxa"/>
        </w:trPr>
        <w:tc>
          <w:tcPr>
            <w:tcW w:w="709" w:type="dxa"/>
            <w:vAlign w:val="center"/>
          </w:tcPr>
          <w:p w14:paraId="4E7E6224">
            <w:pPr>
              <w:widowControl/>
              <w:spacing w:line="0" w:lineRule="atLeast"/>
              <w:ind w:left="42" w:leftChars="20" w:right="42" w:rightChars="20"/>
              <w:jc w:val="center"/>
              <w:rPr>
                <w:rFonts w:ascii="宋体" w:cs="宋体"/>
                <w:color w:val="auto"/>
                <w:kern w:val="0"/>
                <w:sz w:val="24"/>
                <w:highlight w:val="none"/>
              </w:rPr>
            </w:pPr>
            <w:r>
              <w:rPr>
                <w:rFonts w:ascii="宋体" w:cs="宋体"/>
                <w:color w:val="auto"/>
                <w:kern w:val="0"/>
                <w:sz w:val="24"/>
                <w:highlight w:val="none"/>
              </w:rPr>
              <w:t>8</w:t>
            </w:r>
          </w:p>
        </w:tc>
        <w:tc>
          <w:tcPr>
            <w:tcW w:w="1701" w:type="dxa"/>
            <w:vAlign w:val="center"/>
          </w:tcPr>
          <w:p w14:paraId="4E7E6225">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无不良记录</w:t>
            </w:r>
          </w:p>
        </w:tc>
        <w:tc>
          <w:tcPr>
            <w:tcW w:w="3686" w:type="dxa"/>
            <w:vAlign w:val="center"/>
          </w:tcPr>
          <w:p w14:paraId="4E7E6226">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无不良记录承诺书</w:t>
            </w:r>
          </w:p>
        </w:tc>
        <w:tc>
          <w:tcPr>
            <w:tcW w:w="3473" w:type="dxa"/>
            <w:vAlign w:val="center"/>
          </w:tcPr>
          <w:p w14:paraId="4E7E6227">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无不良记录承诺书原件（格式见第七章）</w:t>
            </w:r>
          </w:p>
        </w:tc>
      </w:tr>
      <w:tr w14:paraId="4E7E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1" w:hRule="atLeast"/>
          <w:tblCellSpacing w:w="0" w:type="dxa"/>
        </w:trPr>
        <w:tc>
          <w:tcPr>
            <w:tcW w:w="709" w:type="dxa"/>
            <w:vAlign w:val="center"/>
          </w:tcPr>
          <w:p w14:paraId="4E7E6229">
            <w:pPr>
              <w:widowControl/>
              <w:spacing w:line="0" w:lineRule="atLeast"/>
              <w:ind w:left="42" w:leftChars="20" w:right="42" w:rightChars="20"/>
              <w:jc w:val="center"/>
              <w:rPr>
                <w:rFonts w:ascii="宋体" w:cs="宋体"/>
                <w:color w:val="auto"/>
                <w:kern w:val="0"/>
                <w:sz w:val="24"/>
                <w:highlight w:val="none"/>
              </w:rPr>
            </w:pPr>
            <w:r>
              <w:rPr>
                <w:rFonts w:ascii="宋体" w:cs="宋体"/>
                <w:color w:val="auto"/>
                <w:kern w:val="0"/>
                <w:sz w:val="24"/>
                <w:highlight w:val="none"/>
              </w:rPr>
              <w:t>9</w:t>
            </w:r>
          </w:p>
        </w:tc>
        <w:tc>
          <w:tcPr>
            <w:tcW w:w="1701" w:type="dxa"/>
            <w:vAlign w:val="center"/>
          </w:tcPr>
          <w:p w14:paraId="4E7E622A">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投标人承诺函</w:t>
            </w:r>
          </w:p>
        </w:tc>
        <w:tc>
          <w:tcPr>
            <w:tcW w:w="3686" w:type="dxa"/>
            <w:vAlign w:val="center"/>
          </w:tcPr>
          <w:p w14:paraId="4E7E622B">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投标人承诺函</w:t>
            </w:r>
          </w:p>
        </w:tc>
        <w:tc>
          <w:tcPr>
            <w:tcW w:w="3473" w:type="dxa"/>
            <w:vAlign w:val="center"/>
          </w:tcPr>
          <w:p w14:paraId="4E7E622C">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投标人承诺函原件（格式见第七章）</w:t>
            </w:r>
          </w:p>
        </w:tc>
      </w:tr>
      <w:tr w14:paraId="4E7E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atLeast"/>
          <w:tblCellSpacing w:w="0" w:type="dxa"/>
        </w:trPr>
        <w:tc>
          <w:tcPr>
            <w:tcW w:w="709" w:type="dxa"/>
            <w:vAlign w:val="center"/>
          </w:tcPr>
          <w:p w14:paraId="4E7E622E">
            <w:pPr>
              <w:widowControl/>
              <w:spacing w:line="0" w:lineRule="atLeast"/>
              <w:ind w:left="42" w:leftChars="20" w:right="42" w:rightChars="20"/>
              <w:jc w:val="center"/>
              <w:rPr>
                <w:rFonts w:ascii="宋体" w:cs="宋体"/>
                <w:color w:val="auto"/>
                <w:kern w:val="0"/>
                <w:sz w:val="24"/>
                <w:highlight w:val="none"/>
              </w:rPr>
            </w:pPr>
            <w:r>
              <w:rPr>
                <w:rFonts w:ascii="宋体" w:cs="宋体"/>
                <w:color w:val="auto"/>
                <w:kern w:val="0"/>
                <w:sz w:val="24"/>
                <w:highlight w:val="none"/>
              </w:rPr>
              <w:t>10</w:t>
            </w:r>
          </w:p>
        </w:tc>
        <w:tc>
          <w:tcPr>
            <w:tcW w:w="1701" w:type="dxa"/>
            <w:vAlign w:val="center"/>
          </w:tcPr>
          <w:p w14:paraId="4E7E622F">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远程开标承诺书</w:t>
            </w:r>
          </w:p>
        </w:tc>
        <w:tc>
          <w:tcPr>
            <w:tcW w:w="3686" w:type="dxa"/>
            <w:vAlign w:val="center"/>
          </w:tcPr>
          <w:p w14:paraId="4E7E6230">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sz w:val="24"/>
                <w:highlight w:val="none"/>
              </w:rPr>
              <w:t>远程开标承诺书</w:t>
            </w:r>
          </w:p>
        </w:tc>
        <w:tc>
          <w:tcPr>
            <w:tcW w:w="3473" w:type="dxa"/>
            <w:vAlign w:val="center"/>
          </w:tcPr>
          <w:p w14:paraId="4E7E6231">
            <w:pPr>
              <w:widowControl/>
              <w:spacing w:line="0" w:lineRule="atLeast"/>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远程开标承诺书原件（格式见第七章）</w:t>
            </w:r>
          </w:p>
        </w:tc>
      </w:tr>
      <w:tr w14:paraId="4E7E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09" w:type="dxa"/>
            <w:vAlign w:val="center"/>
          </w:tcPr>
          <w:p w14:paraId="4E7E6233">
            <w:pPr>
              <w:widowControl/>
              <w:ind w:left="42" w:leftChars="20" w:right="42" w:rightChars="20"/>
              <w:jc w:val="center"/>
              <w:rPr>
                <w:rFonts w:ascii="宋体" w:cs="宋体"/>
                <w:color w:val="auto"/>
                <w:kern w:val="0"/>
                <w:sz w:val="24"/>
                <w:highlight w:val="none"/>
              </w:rPr>
            </w:pPr>
          </w:p>
        </w:tc>
        <w:tc>
          <w:tcPr>
            <w:tcW w:w="8860" w:type="dxa"/>
            <w:gridSpan w:val="3"/>
            <w:vAlign w:val="center"/>
          </w:tcPr>
          <w:p w14:paraId="4E7E6234">
            <w:pPr>
              <w:widowControl/>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1、以上资格审查材料有一项不符合要求的即视为资格审查不通过。</w:t>
            </w:r>
          </w:p>
          <w:p w14:paraId="4E7E6235">
            <w:pPr>
              <w:widowControl/>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2、所有复印件须保证图片字迹清楚并加盖投标单位公章，不符合要求的即视为资格审查不通过。</w:t>
            </w:r>
          </w:p>
          <w:p w14:paraId="4E7E6236">
            <w:pPr>
              <w:widowControl/>
              <w:ind w:left="42" w:leftChars="20" w:right="42" w:rightChars="20"/>
              <w:jc w:val="left"/>
              <w:rPr>
                <w:rFonts w:ascii="宋体" w:cs="宋体"/>
                <w:color w:val="auto"/>
                <w:kern w:val="0"/>
                <w:sz w:val="24"/>
                <w:highlight w:val="none"/>
              </w:rPr>
            </w:pPr>
            <w:r>
              <w:rPr>
                <w:rFonts w:hint="eastAsia" w:ascii="宋体" w:cs="宋体"/>
                <w:color w:val="auto"/>
                <w:kern w:val="0"/>
                <w:sz w:val="24"/>
                <w:highlight w:val="none"/>
              </w:rPr>
              <w:t>3、</w:t>
            </w:r>
            <w:r>
              <w:rPr>
                <w:rFonts w:hint="eastAsia" w:ascii="宋体" w:cs="宋体"/>
                <w:b/>
                <w:color w:val="auto"/>
                <w:kern w:val="0"/>
                <w:sz w:val="24"/>
                <w:highlight w:val="none"/>
              </w:rPr>
              <w:t>投标人在投标文件递交截止时间当日，建筑业企业资质动态监管结果（本项目资质要求）不处于不合格状态。招标人或招标代理机构在投标文件递交截止时间当日，登录“江苏省建筑市场监管与诚信信息一体化平台”，检查投标人的建筑业企业资质动态监管状态，对动态监管处于不合格状态的投标人进行截图保存，提供给评标委员会，资格审查不通过。</w:t>
            </w:r>
          </w:p>
        </w:tc>
      </w:tr>
    </w:tbl>
    <w:p w14:paraId="4E7E6238">
      <w:pPr>
        <w:widowControl/>
        <w:spacing w:line="440" w:lineRule="exact"/>
        <w:ind w:firstLine="480" w:firstLineChars="200"/>
        <w:rPr>
          <w:rFonts w:ascii="宋体" w:cs="宋体"/>
          <w:color w:val="auto"/>
          <w:kern w:val="0"/>
          <w:sz w:val="24"/>
          <w:highlight w:val="none"/>
        </w:rPr>
      </w:pPr>
      <w:r>
        <w:rPr>
          <w:rFonts w:hint="eastAsia" w:ascii="宋体" w:cs="宋体"/>
          <w:color w:val="auto"/>
          <w:kern w:val="0"/>
          <w:sz w:val="24"/>
          <w:highlight w:val="none"/>
        </w:rPr>
        <w:t>本次资格审查采用合格制，各投标人只有通过资格符合性评审后，方可参与商务标的评审。</w:t>
      </w:r>
    </w:p>
    <w:p w14:paraId="4E7E6239">
      <w:pPr>
        <w:widowControl/>
        <w:spacing w:line="44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2、商务标评审</w:t>
      </w:r>
    </w:p>
    <w:p w14:paraId="4E7E623A">
      <w:pPr>
        <w:widowControl/>
        <w:spacing w:line="440" w:lineRule="exact"/>
        <w:ind w:firstLine="482" w:firstLineChars="200"/>
        <w:rPr>
          <w:rFonts w:ascii="宋体" w:cs="宋体"/>
          <w:b/>
          <w:color w:val="auto"/>
          <w:kern w:val="0"/>
          <w:sz w:val="24"/>
          <w:highlight w:val="none"/>
          <w:u w:val="single"/>
        </w:rPr>
      </w:pPr>
      <w:r>
        <w:rPr>
          <w:rFonts w:hint="eastAsia" w:ascii="宋体" w:cs="宋体"/>
          <w:b/>
          <w:color w:val="auto"/>
          <w:kern w:val="0"/>
          <w:sz w:val="24"/>
          <w:highlight w:val="none"/>
        </w:rPr>
        <w:t>（1）确定有效报价：</w:t>
      </w:r>
      <w:r>
        <w:rPr>
          <w:rFonts w:hint="eastAsia" w:ascii="宋体" w:cs="宋体"/>
          <w:b/>
          <w:color w:val="auto"/>
          <w:kern w:val="0"/>
          <w:sz w:val="24"/>
          <w:highlight w:val="none"/>
          <w:u w:val="single"/>
        </w:rPr>
        <w:t>本项目采用下浮率报价形式，本工程最低下浮率为10%。高于或等于10%的为有效报价，低于10%的为无效投标。</w:t>
      </w:r>
    </w:p>
    <w:p w14:paraId="4E7E623B">
      <w:pPr>
        <w:widowControl/>
        <w:spacing w:line="440" w:lineRule="exact"/>
        <w:ind w:firstLine="482" w:firstLineChars="200"/>
        <w:rPr>
          <w:rFonts w:ascii="宋体" w:cs="宋体"/>
          <w:b/>
          <w:color w:val="auto"/>
          <w:kern w:val="0"/>
          <w:sz w:val="24"/>
          <w:highlight w:val="none"/>
        </w:rPr>
      </w:pPr>
      <w:r>
        <w:rPr>
          <w:rFonts w:hint="eastAsia" w:ascii="宋体" w:cs="宋体"/>
          <w:b/>
          <w:color w:val="auto"/>
          <w:kern w:val="0"/>
          <w:sz w:val="24"/>
          <w:highlight w:val="none"/>
          <w:u w:val="single"/>
        </w:rPr>
        <w:t>备注：高于10%招标人是指11%、12%等等，低于10%是指9%、8%等等。</w:t>
      </w:r>
    </w:p>
    <w:p w14:paraId="4E7E623C">
      <w:pPr>
        <w:widowControl/>
        <w:numPr>
          <w:ilvl w:val="0"/>
          <w:numId w:val="3"/>
        </w:numPr>
        <w:spacing w:line="440" w:lineRule="exact"/>
        <w:ind w:firstLine="480" w:firstLineChars="200"/>
        <w:rPr>
          <w:rFonts w:ascii="宋体" w:cs="宋体"/>
          <w:color w:val="auto"/>
          <w:kern w:val="0"/>
          <w:sz w:val="24"/>
          <w:highlight w:val="none"/>
        </w:rPr>
      </w:pPr>
      <w:bookmarkStart w:id="25" w:name="_Toc404159960"/>
      <w:bookmarkStart w:id="26" w:name="_Toc404174018"/>
      <w:r>
        <w:rPr>
          <w:rFonts w:hint="eastAsia" w:ascii="宋体" w:cs="宋体"/>
          <w:color w:val="auto"/>
          <w:kern w:val="0"/>
          <w:sz w:val="24"/>
          <w:highlight w:val="none"/>
        </w:rPr>
        <w:t>评标基准价的确定：</w:t>
      </w:r>
    </w:p>
    <w:p w14:paraId="4E7E623D">
      <w:pPr>
        <w:autoSpaceDE w:val="0"/>
        <w:autoSpaceDN w:val="0"/>
        <w:adjustRightInd w:val="0"/>
        <w:snapToGrid w:val="0"/>
        <w:spacing w:line="440" w:lineRule="exact"/>
        <w:ind w:firstLine="480" w:firstLineChars="200"/>
        <w:rPr>
          <w:rFonts w:ascii="宋体" w:hAnsi="宋体"/>
          <w:color w:val="auto"/>
          <w:kern w:val="0"/>
          <w:sz w:val="24"/>
          <w:highlight w:val="none"/>
          <w:u w:val="single"/>
        </w:rPr>
      </w:pPr>
      <w:r>
        <w:rPr>
          <w:rFonts w:hint="eastAsia" w:ascii="宋体" w:hAnsi="宋体" w:cs="宋体"/>
          <w:color w:val="auto"/>
          <w:kern w:val="0"/>
          <w:sz w:val="24"/>
          <w:highlight w:val="none"/>
          <w:u w:val="single"/>
        </w:rPr>
        <w:t>评标基准价 =A×K，A值</w:t>
      </w:r>
      <w:r>
        <w:rPr>
          <w:rFonts w:hint="eastAsia" w:ascii="宋体" w:hAnsi="宋体"/>
          <w:color w:val="auto"/>
          <w:kern w:val="0"/>
          <w:sz w:val="24"/>
          <w:highlight w:val="none"/>
          <w:u w:val="single"/>
        </w:rPr>
        <w:t>是有效投标文件的评标价的算术平均值，评标价是指经澄清、补正和修正算术计算错误的投标报价。K值在开标时由招标人代表随机抽取确定，K 值的取值范围为1.05、1.04、1.03、1.02。</w:t>
      </w:r>
    </w:p>
    <w:p w14:paraId="4E7E623E">
      <w:pPr>
        <w:widowControl/>
        <w:spacing w:line="440" w:lineRule="exact"/>
        <w:ind w:firstLine="480" w:firstLineChars="200"/>
        <w:rPr>
          <w:rFonts w:ascii="宋体" w:cs="宋体"/>
          <w:color w:val="auto"/>
          <w:kern w:val="0"/>
          <w:sz w:val="24"/>
          <w:highlight w:val="none"/>
        </w:rPr>
      </w:pPr>
      <w:r>
        <w:rPr>
          <w:rFonts w:hint="eastAsia" w:ascii="宋体" w:hAnsi="宋体"/>
          <w:color w:val="auto"/>
          <w:kern w:val="0"/>
          <w:sz w:val="24"/>
          <w:highlight w:val="none"/>
        </w:rPr>
        <w:t>评标基准价只计算一次，一经确定，不因招标当事人质疑、投诉、复议以及其他任何情形而改变，但评标过程中的计算错误可作调整。</w:t>
      </w:r>
    </w:p>
    <w:p w14:paraId="4E7E623F">
      <w:pPr>
        <w:widowControl/>
        <w:spacing w:line="44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（3）计算商务标得分</w:t>
      </w:r>
    </w:p>
    <w:p w14:paraId="4E7E6240">
      <w:pPr>
        <w:widowControl/>
        <w:spacing w:line="440" w:lineRule="exact"/>
        <w:ind w:firstLine="480" w:firstLineChars="200"/>
        <w:rPr>
          <w:rFonts w:ascii="宋体" w:cs="宋体"/>
          <w:color w:val="auto"/>
          <w:kern w:val="0"/>
          <w:sz w:val="24"/>
          <w:highlight w:val="none"/>
        </w:rPr>
      </w:pPr>
      <w:r>
        <w:rPr>
          <w:rFonts w:hint="eastAsia" w:ascii="宋体" w:hAnsi="宋体" w:cs="宋体"/>
          <w:color w:val="auto"/>
          <w:kern w:val="0"/>
          <w:sz w:val="24"/>
          <w:highlight w:val="none"/>
        </w:rPr>
        <w:t>①</w:t>
      </w:r>
      <w:r>
        <w:rPr>
          <w:rFonts w:hint="eastAsia" w:ascii="宋体" w:cs="宋体"/>
          <w:color w:val="auto"/>
          <w:kern w:val="0"/>
          <w:sz w:val="24"/>
          <w:highlight w:val="none"/>
        </w:rPr>
        <w:t>投标人的投标报价（下浮率）与评标基准价相等的得100分。</w:t>
      </w:r>
    </w:p>
    <w:p w14:paraId="4E7E6241">
      <w:pPr>
        <w:widowControl/>
        <w:spacing w:line="440" w:lineRule="exact"/>
        <w:ind w:firstLine="480" w:firstLineChars="200"/>
        <w:rPr>
          <w:rFonts w:ascii="宋体" w:cs="宋体"/>
          <w:color w:val="auto"/>
          <w:kern w:val="0"/>
          <w:sz w:val="24"/>
          <w:highlight w:val="none"/>
        </w:rPr>
      </w:pPr>
      <w:r>
        <w:rPr>
          <w:rFonts w:hint="eastAsia" w:ascii="宋体" w:hAnsi="宋体" w:cs="宋体"/>
          <w:color w:val="auto"/>
          <w:kern w:val="0"/>
          <w:sz w:val="24"/>
          <w:highlight w:val="none"/>
        </w:rPr>
        <w:t>②</w:t>
      </w:r>
      <w:r>
        <w:rPr>
          <w:rFonts w:hint="eastAsia" w:ascii="宋体" w:cs="宋体"/>
          <w:color w:val="auto"/>
          <w:kern w:val="0"/>
          <w:sz w:val="24"/>
          <w:highlight w:val="none"/>
        </w:rPr>
        <w:t>投标人的投标下浮率与评标基准价相比，每少1%扣0.9分，每多1%扣0.6分（不足1%时采用插入法），得分保留小数点后两位，第三位四舍五入。</w:t>
      </w:r>
    </w:p>
    <w:p w14:paraId="4E7E6242">
      <w:pPr>
        <w:widowControl/>
        <w:spacing w:line="440" w:lineRule="exact"/>
        <w:ind w:firstLine="480" w:firstLineChars="200"/>
        <w:rPr>
          <w:rFonts w:ascii="宋体" w:cs="宋体"/>
          <w:color w:val="auto"/>
          <w:kern w:val="0"/>
          <w:sz w:val="24"/>
          <w:highlight w:val="none"/>
        </w:rPr>
      </w:pPr>
      <w:r>
        <w:rPr>
          <w:rFonts w:hint="eastAsia" w:ascii="宋体" w:cs="宋体"/>
          <w:color w:val="auto"/>
          <w:kern w:val="0"/>
          <w:sz w:val="24"/>
          <w:highlight w:val="none"/>
        </w:rPr>
        <w:t>（例如：投标人A投标报价为：下浮率11%，投标人B投标报价为：下浮率14%，投标人C投标报价为：下浮率18%，K值为1.05，则评标基准价为15.05%；投标人A得分为100-（15.05%-11%）*0.9＝96.36；投标人B得分为100-（15.05%-14%）*0.9=99.06；投标人C得分为100-（18%-15.05%）*0.6＝98.23分）</w:t>
      </w:r>
    </w:p>
    <w:p w14:paraId="4E7E6243">
      <w:pPr>
        <w:autoSpaceDE w:val="0"/>
        <w:autoSpaceDN w:val="0"/>
        <w:adjustRightInd w:val="0"/>
        <w:snapToGrid w:val="0"/>
        <w:spacing w:line="440" w:lineRule="exact"/>
        <w:ind w:firstLine="470" w:firstLineChars="196"/>
        <w:rPr>
          <w:rFonts w:ascii="宋体" w:hAnsi="宋体" w:cs="宋体"/>
          <w:b/>
          <w:bCs/>
          <w:color w:val="auto"/>
          <w:sz w:val="24"/>
          <w:highlight w:val="none"/>
        </w:rPr>
      </w:pPr>
      <w:r>
        <w:rPr>
          <w:rFonts w:hint="eastAsia" w:ascii="宋体" w:hAnsi="宋体" w:cs="宋体"/>
          <w:color w:val="auto"/>
          <w:kern w:val="0"/>
          <w:sz w:val="24"/>
          <w:highlight w:val="none"/>
        </w:rPr>
        <w:t>评标委员会在评标报告上签字后，评标基准价不因招投标当事人质疑、投诉、复议以及其它任何情形而改变，但评标过程中的计算错误可以调整。</w:t>
      </w:r>
    </w:p>
    <w:p w14:paraId="4E7E6244">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4.确定中标人</w:t>
      </w:r>
    </w:p>
    <w:p w14:paraId="4E7E6245">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评标委员会按照各投标人的投标报价，按得分从高到低的顺序确定前三名中标候选人，中标价为其投标报价。若投标报价得分相同，则投标报价低者优先；若投标报价仍相同，则采取现场随机抽签的方式确定最终的中标候选人。</w:t>
      </w:r>
    </w:p>
    <w:p w14:paraId="4E7E6246">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本工程第一中标候选人原则上为中标人。当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4E7E6247">
      <w:pPr>
        <w:rPr>
          <w:rFonts w:ascii="宋体" w:cs="宋体"/>
          <w:b/>
          <w:bCs/>
          <w:color w:val="auto"/>
          <w:sz w:val="28"/>
          <w:szCs w:val="28"/>
          <w:highlight w:val="none"/>
        </w:rPr>
      </w:pPr>
      <w:r>
        <w:rPr>
          <w:rFonts w:hint="eastAsia" w:ascii="宋体" w:hAnsi="宋体" w:cs="宋体"/>
          <w:b/>
          <w:bCs/>
          <w:color w:val="auto"/>
          <w:sz w:val="24"/>
          <w:highlight w:val="none"/>
        </w:rPr>
        <w:t xml:space="preserve">  评标过程中出现本评标办法未尽事宜，由评标委员会根据有关法律、法规讨论决定。</w:t>
      </w:r>
    </w:p>
    <w:p w14:paraId="4E7E6248">
      <w:pPr>
        <w:rPr>
          <w:rFonts w:ascii="宋体" w:cs="宋体"/>
          <w:b/>
          <w:bCs/>
          <w:color w:val="auto"/>
          <w:sz w:val="28"/>
          <w:szCs w:val="28"/>
          <w:highlight w:val="none"/>
        </w:rPr>
      </w:pPr>
    </w:p>
    <w:p w14:paraId="4E7E6249">
      <w:pPr>
        <w:rPr>
          <w:rFonts w:ascii="宋体" w:cs="宋体"/>
          <w:b/>
          <w:bCs/>
          <w:color w:val="auto"/>
          <w:sz w:val="28"/>
          <w:szCs w:val="28"/>
          <w:highlight w:val="none"/>
        </w:rPr>
      </w:pPr>
    </w:p>
    <w:p w14:paraId="4E7E624A">
      <w:pPr>
        <w:rPr>
          <w:rFonts w:ascii="宋体" w:cs="宋体"/>
          <w:b/>
          <w:bCs/>
          <w:color w:val="auto"/>
          <w:sz w:val="28"/>
          <w:szCs w:val="28"/>
          <w:highlight w:val="none"/>
        </w:rPr>
      </w:pPr>
    </w:p>
    <w:p w14:paraId="4E7E624B">
      <w:pPr>
        <w:rPr>
          <w:rFonts w:ascii="宋体" w:cs="宋体"/>
          <w:b/>
          <w:bCs/>
          <w:color w:val="auto"/>
          <w:sz w:val="28"/>
          <w:szCs w:val="28"/>
          <w:highlight w:val="none"/>
        </w:rPr>
      </w:pPr>
      <w:r>
        <w:rPr>
          <w:rFonts w:ascii="宋体" w:cs="宋体"/>
          <w:b/>
          <w:bCs/>
          <w:color w:val="auto"/>
          <w:sz w:val="28"/>
          <w:szCs w:val="28"/>
          <w:highlight w:val="none"/>
        </w:rPr>
        <w:t>附件：《办公厅关于全面实行一级建造师电子注册证书的通知》（建办市〔2021〕40号）文件</w:t>
      </w:r>
    </w:p>
    <w:p w14:paraId="4E7E624C">
      <w:pPr>
        <w:rPr>
          <w:rFonts w:ascii="宋体" w:cs="宋体"/>
          <w:b/>
          <w:bCs/>
          <w:color w:val="auto"/>
          <w:sz w:val="28"/>
          <w:szCs w:val="28"/>
          <w:highlight w:val="none"/>
        </w:rPr>
      </w:pPr>
      <w:r>
        <w:rPr>
          <w:rFonts w:ascii="宋体" w:cs="宋体"/>
          <w:b/>
          <w:bCs/>
          <w:color w:val="auto"/>
          <w:sz w:val="28"/>
          <w:szCs w:val="28"/>
          <w:highlight w:val="none"/>
        </w:rPr>
        <w:t xml:space="preserve">    </w:t>
      </w:r>
      <w:r>
        <w:rPr>
          <w:rFonts w:ascii="宋体" w:cs="宋体"/>
          <w:b/>
          <w:bCs/>
          <w:color w:val="auto"/>
          <w:sz w:val="28"/>
          <w:szCs w:val="28"/>
          <w:highlight w:val="none"/>
        </w:rPr>
        <w:drawing>
          <wp:inline distT="0" distB="0" distL="0" distR="0">
            <wp:extent cx="5351145" cy="36734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351145" cy="3673475"/>
                    </a:xfrm>
                    <a:prstGeom prst="rect">
                      <a:avLst/>
                    </a:prstGeom>
                    <a:noFill/>
                    <a:ln>
                      <a:noFill/>
                    </a:ln>
                  </pic:spPr>
                </pic:pic>
              </a:graphicData>
            </a:graphic>
          </wp:inline>
        </w:drawing>
      </w:r>
    </w:p>
    <w:p w14:paraId="4E7E624D">
      <w:pPr>
        <w:rPr>
          <w:rFonts w:ascii="宋体" w:cs="宋体"/>
          <w:b/>
          <w:bCs/>
          <w:color w:val="auto"/>
          <w:sz w:val="28"/>
          <w:szCs w:val="28"/>
          <w:highlight w:val="none"/>
        </w:rPr>
      </w:pPr>
    </w:p>
    <w:p w14:paraId="4E7E624E">
      <w:pPr>
        <w:rPr>
          <w:rFonts w:ascii="宋体" w:cs="宋体"/>
          <w:b/>
          <w:bCs/>
          <w:color w:val="auto"/>
          <w:sz w:val="28"/>
          <w:szCs w:val="28"/>
          <w:highlight w:val="none"/>
        </w:rPr>
      </w:pPr>
      <w:r>
        <w:rPr>
          <w:rFonts w:ascii="宋体" w:cs="宋体"/>
          <w:b/>
          <w:bCs/>
          <w:color w:val="auto"/>
          <w:sz w:val="28"/>
          <w:szCs w:val="28"/>
          <w:highlight w:val="none"/>
        </w:rPr>
        <w:t>网址：https://www.mohurd.gov.cn/gongkai/fdzdgknr/zfhcxjsbwj/202109/20210926_762262.html</w:t>
      </w:r>
    </w:p>
    <w:p w14:paraId="4E7E624F">
      <w:pPr>
        <w:rPr>
          <w:rFonts w:ascii="宋体" w:cs="宋体"/>
          <w:b/>
          <w:bCs/>
          <w:color w:val="auto"/>
          <w:sz w:val="28"/>
          <w:szCs w:val="28"/>
          <w:highlight w:val="none"/>
        </w:rPr>
      </w:pPr>
    </w:p>
    <w:p w14:paraId="4E7E6250">
      <w:pPr>
        <w:rPr>
          <w:rFonts w:ascii="宋体" w:cs="宋体"/>
          <w:b/>
          <w:bCs/>
          <w:color w:val="auto"/>
          <w:sz w:val="28"/>
          <w:szCs w:val="28"/>
          <w:highlight w:val="none"/>
        </w:rPr>
        <w:sectPr>
          <w:footerReference r:id="rId3" w:type="default"/>
          <w:pgSz w:w="11906" w:h="16838"/>
          <w:pgMar w:top="1814" w:right="1531" w:bottom="1985" w:left="1531" w:header="720" w:footer="1474" w:gutter="0"/>
          <w:cols w:space="720" w:num="1"/>
          <w:docGrid w:type="lines" w:linePitch="312" w:charSpace="0"/>
        </w:sectPr>
      </w:pPr>
    </w:p>
    <w:p w14:paraId="4E7E6251">
      <w:pPr>
        <w:rPr>
          <w:rFonts w:ascii="宋体" w:cs="宋体"/>
          <w:b/>
          <w:bCs/>
          <w:color w:val="auto"/>
          <w:sz w:val="28"/>
          <w:szCs w:val="28"/>
          <w:highlight w:val="none"/>
        </w:rPr>
      </w:pPr>
      <w:r>
        <w:rPr>
          <w:rFonts w:ascii="宋体" w:cs="宋体"/>
          <w:b/>
          <w:bCs/>
          <w:color w:val="auto"/>
          <w:sz w:val="28"/>
          <w:szCs w:val="28"/>
          <w:highlight w:val="none"/>
        </w:rPr>
        <w:t>住房和城乡建设部办公厅关于全面实行</w:t>
      </w:r>
    </w:p>
    <w:p w14:paraId="4E7E6252">
      <w:pPr>
        <w:rPr>
          <w:rFonts w:ascii="宋体" w:cs="宋体"/>
          <w:b/>
          <w:bCs/>
          <w:color w:val="auto"/>
          <w:sz w:val="28"/>
          <w:szCs w:val="28"/>
          <w:highlight w:val="none"/>
        </w:rPr>
      </w:pPr>
      <w:r>
        <w:rPr>
          <w:rFonts w:ascii="宋体" w:cs="宋体"/>
          <w:b/>
          <w:bCs/>
          <w:color w:val="auto"/>
          <w:sz w:val="28"/>
          <w:szCs w:val="28"/>
          <w:highlight w:val="none"/>
        </w:rPr>
        <w:t>一级建造师电子注册证书的通知</w:t>
      </w:r>
    </w:p>
    <w:p w14:paraId="4E7E6253">
      <w:pPr>
        <w:rPr>
          <w:rFonts w:ascii="宋体" w:cs="宋体"/>
          <w:b/>
          <w:bCs/>
          <w:color w:val="auto"/>
          <w:sz w:val="28"/>
          <w:szCs w:val="28"/>
          <w:highlight w:val="none"/>
        </w:rPr>
      </w:pPr>
      <w:r>
        <w:rPr>
          <w:rFonts w:ascii="宋体" w:cs="宋体"/>
          <w:b/>
          <w:bCs/>
          <w:color w:val="auto"/>
          <w:sz w:val="28"/>
          <w:szCs w:val="28"/>
          <w:highlight w:val="none"/>
        </w:rPr>
        <w:t xml:space="preserve"> 各省、自治区住房和城乡建设厅，直辖市住房和城乡建设（管）委，新疆生产建设兵团住房和城乡建设局，国务院有关部门建设司（局），中央军委后勤保障部军事设施建设局，有关中央企业：</w:t>
      </w:r>
    </w:p>
    <w:p w14:paraId="4E7E6254">
      <w:pPr>
        <w:rPr>
          <w:rFonts w:ascii="宋体" w:cs="宋体"/>
          <w:b/>
          <w:bCs/>
          <w:color w:val="auto"/>
          <w:sz w:val="28"/>
          <w:szCs w:val="28"/>
          <w:highlight w:val="none"/>
        </w:rPr>
      </w:pPr>
      <w:r>
        <w:rPr>
          <w:rFonts w:ascii="宋体" w:cs="宋体"/>
          <w:b/>
          <w:bCs/>
          <w:color w:val="auto"/>
          <w:sz w:val="28"/>
          <w:szCs w:val="28"/>
          <w:highlight w:val="none"/>
        </w:rPr>
        <w:t>为扎实推进“我为群众办实事”实践活动，深化建筑业“放管服”改革，进一步提升政务服务规范化、便利化水平，我部决定在全国范围内实行一级建造师电子注册证书（以下简称电子证书），并开展延续注册工作。现将有关事项通知如下：</w:t>
      </w:r>
    </w:p>
    <w:p w14:paraId="4E7E6255">
      <w:pPr>
        <w:rPr>
          <w:rFonts w:ascii="宋体" w:cs="宋体"/>
          <w:b/>
          <w:bCs/>
          <w:color w:val="auto"/>
          <w:sz w:val="28"/>
          <w:szCs w:val="28"/>
          <w:highlight w:val="none"/>
        </w:rPr>
      </w:pPr>
      <w:r>
        <w:rPr>
          <w:rFonts w:ascii="宋体" w:cs="宋体"/>
          <w:b/>
          <w:bCs/>
          <w:color w:val="auto"/>
          <w:sz w:val="28"/>
          <w:szCs w:val="28"/>
          <w:highlight w:val="none"/>
        </w:rPr>
        <w:t>一、工作内容</w:t>
      </w:r>
    </w:p>
    <w:p w14:paraId="4E7E6256">
      <w:pPr>
        <w:rPr>
          <w:rFonts w:ascii="宋体" w:cs="宋体"/>
          <w:b/>
          <w:bCs/>
          <w:color w:val="auto"/>
          <w:sz w:val="28"/>
          <w:szCs w:val="28"/>
          <w:highlight w:val="none"/>
        </w:rPr>
      </w:pPr>
      <w:r>
        <w:rPr>
          <w:rFonts w:ascii="宋体" w:cs="宋体"/>
          <w:b/>
          <w:bCs/>
          <w:color w:val="auto"/>
          <w:sz w:val="28"/>
          <w:szCs w:val="28"/>
          <w:highlight w:val="none"/>
        </w:rPr>
        <w:t>（一）实行电子证书。</w:t>
      </w:r>
    </w:p>
    <w:p w14:paraId="4E7E6257">
      <w:pPr>
        <w:rPr>
          <w:rFonts w:ascii="宋体" w:cs="宋体"/>
          <w:b/>
          <w:bCs/>
          <w:color w:val="auto"/>
          <w:sz w:val="28"/>
          <w:szCs w:val="28"/>
          <w:highlight w:val="none"/>
        </w:rPr>
      </w:pPr>
      <w:r>
        <w:rPr>
          <w:rFonts w:ascii="宋体" w:cs="宋体"/>
          <w:b/>
          <w:bCs/>
          <w:color w:val="auto"/>
          <w:sz w:val="28"/>
          <w:szCs w:val="28"/>
          <w:highlight w:val="none"/>
        </w:rPr>
        <w:t>1．自 2021年10月15日起，在全国范围内实行一级建造师电子证书（具体示例及说明见附件1），电子证书式样按照《全国一体化在线政务服务平台电子证照一级建造师注册证书》标准执行（具体式样见附件2）。自 2022年1月1日起，一级建造师统一使用电子证书，纸质注册证书作废。</w:t>
      </w:r>
    </w:p>
    <w:p w14:paraId="4E7E6258">
      <w:pPr>
        <w:rPr>
          <w:rFonts w:ascii="宋体" w:cs="宋体"/>
          <w:b/>
          <w:bCs/>
          <w:color w:val="auto"/>
          <w:sz w:val="28"/>
          <w:szCs w:val="28"/>
          <w:highlight w:val="none"/>
        </w:rPr>
      </w:pPr>
      <w:r>
        <w:rPr>
          <w:rFonts w:ascii="宋体" w:cs="宋体"/>
          <w:b/>
          <w:bCs/>
          <w:color w:val="auto"/>
          <w:sz w:val="28"/>
          <w:szCs w:val="28"/>
          <w:highlight w:val="none"/>
        </w:rPr>
        <w:t>2．自 2021年10月15日起，全国范围内准予一级建造师初始注册、增项注册、重新注册、延续注册的，不再发放纸质注册证书或加贴防伪贴；聘用单位基本信息修改的，不再加贴防伪贴；因纸质注册证书遗失、污损或个人信息修改等需重新发放注册证书的，不再补发或更换纸质注册证书。</w:t>
      </w:r>
    </w:p>
    <w:p w14:paraId="4E7E6259">
      <w:pPr>
        <w:rPr>
          <w:rFonts w:ascii="宋体" w:cs="宋体"/>
          <w:b/>
          <w:bCs/>
          <w:color w:val="auto"/>
          <w:sz w:val="28"/>
          <w:szCs w:val="28"/>
          <w:highlight w:val="none"/>
        </w:rPr>
      </w:pPr>
      <w:r>
        <w:rPr>
          <w:rFonts w:ascii="宋体" w:cs="宋体"/>
          <w:b/>
          <w:bCs/>
          <w:color w:val="auto"/>
          <w:sz w:val="28"/>
          <w:szCs w:val="28"/>
          <w:highlight w:val="none"/>
        </w:rPr>
        <w:t>3．电子证书与纸质注册证书并行使用期间，其注册编号同时有效。2022年1月1日起，一级建造师应重新刻制执业印章，并使用电子证书上的注册编号。</w:t>
      </w:r>
    </w:p>
    <w:p w14:paraId="4E7E625A">
      <w:pPr>
        <w:rPr>
          <w:rFonts w:ascii="宋体" w:cs="宋体"/>
          <w:b/>
          <w:bCs/>
          <w:color w:val="auto"/>
          <w:sz w:val="28"/>
          <w:szCs w:val="28"/>
          <w:highlight w:val="none"/>
        </w:rPr>
      </w:pPr>
      <w:r>
        <w:rPr>
          <w:rFonts w:ascii="宋体" w:cs="宋体"/>
          <w:b/>
          <w:bCs/>
          <w:color w:val="auto"/>
          <w:sz w:val="28"/>
          <w:szCs w:val="28"/>
          <w:highlight w:val="none"/>
        </w:rPr>
        <w:t>4．各省（区、市）住房和城乡建设主管部门要会同有关行业主管部门创新监管模式，充分运用信息化手段，加快实现电子证书在招标投标、审批许可、项目管理、行业监管等环节的应用。</w:t>
      </w:r>
    </w:p>
    <w:p w14:paraId="4E7E625B">
      <w:pPr>
        <w:rPr>
          <w:rFonts w:ascii="宋体" w:cs="宋体"/>
          <w:b/>
          <w:bCs/>
          <w:color w:val="auto"/>
          <w:sz w:val="28"/>
          <w:szCs w:val="28"/>
          <w:highlight w:val="none"/>
        </w:rPr>
      </w:pPr>
      <w:r>
        <w:rPr>
          <w:rFonts w:ascii="宋体" w:cs="宋体"/>
          <w:b/>
          <w:bCs/>
          <w:color w:val="auto"/>
          <w:sz w:val="28"/>
          <w:szCs w:val="28"/>
          <w:highlight w:val="none"/>
        </w:rPr>
        <w:t>（二）开展延续注册。</w:t>
      </w:r>
    </w:p>
    <w:p w14:paraId="4E7E625C">
      <w:pPr>
        <w:rPr>
          <w:rFonts w:ascii="宋体" w:cs="宋体"/>
          <w:b/>
          <w:bCs/>
          <w:color w:val="auto"/>
          <w:sz w:val="28"/>
          <w:szCs w:val="28"/>
          <w:highlight w:val="none"/>
        </w:rPr>
      </w:pPr>
      <w:r>
        <w:rPr>
          <w:rFonts w:ascii="宋体" w:cs="宋体"/>
          <w:b/>
          <w:bCs/>
          <w:color w:val="auto"/>
          <w:sz w:val="28"/>
          <w:szCs w:val="28"/>
          <w:highlight w:val="none"/>
        </w:rPr>
        <w:t>1．一级建造师注册专业有效期已过期的，应于2021年12月15日前提出延续注册申请；注册专业仍在有效期内的，应在有效期届满30日前提出延续注册申请；注册专业有效期届满且未提出延续注册申请的，自2022年1月1日起注册专业失效。</w:t>
      </w:r>
    </w:p>
    <w:p w14:paraId="4E7E625D">
      <w:pPr>
        <w:rPr>
          <w:rFonts w:ascii="宋体" w:cs="宋体"/>
          <w:b/>
          <w:bCs/>
          <w:color w:val="auto"/>
          <w:sz w:val="28"/>
          <w:szCs w:val="28"/>
          <w:highlight w:val="none"/>
        </w:rPr>
      </w:pPr>
      <w:r>
        <w:rPr>
          <w:rFonts w:ascii="宋体" w:cs="宋体"/>
          <w:b/>
          <w:bCs/>
          <w:color w:val="auto"/>
          <w:sz w:val="28"/>
          <w:szCs w:val="28"/>
          <w:highlight w:val="none"/>
        </w:rPr>
        <w:t>2．一级建造师申请延续注册的，应达到继续教育要求，并对本人完成继续教育情况作出承诺。</w:t>
      </w:r>
    </w:p>
    <w:p w14:paraId="4E7E625E">
      <w:pPr>
        <w:rPr>
          <w:rFonts w:ascii="宋体" w:cs="宋体"/>
          <w:b/>
          <w:bCs/>
          <w:color w:val="auto"/>
          <w:sz w:val="28"/>
          <w:szCs w:val="28"/>
          <w:highlight w:val="none"/>
        </w:rPr>
      </w:pPr>
      <w:r>
        <w:rPr>
          <w:rFonts w:ascii="宋体" w:cs="宋体"/>
          <w:b/>
          <w:bCs/>
          <w:color w:val="auto"/>
          <w:sz w:val="28"/>
          <w:szCs w:val="28"/>
          <w:highlight w:val="none"/>
        </w:rPr>
        <w:t>3．准予延续注册的注册专业，其注册专业有效期从准予延续注册之日起计算。准予延续注册之日距65周岁不满3年的，有效期至 65 周岁当日。</w:t>
      </w:r>
    </w:p>
    <w:p w14:paraId="4E7E625F">
      <w:pPr>
        <w:rPr>
          <w:rFonts w:ascii="宋体" w:cs="宋体"/>
          <w:b/>
          <w:bCs/>
          <w:color w:val="auto"/>
          <w:sz w:val="28"/>
          <w:szCs w:val="28"/>
          <w:highlight w:val="none"/>
        </w:rPr>
      </w:pPr>
      <w:r>
        <w:rPr>
          <w:rFonts w:ascii="宋体" w:cs="宋体"/>
          <w:b/>
          <w:bCs/>
          <w:color w:val="auto"/>
          <w:sz w:val="28"/>
          <w:szCs w:val="28"/>
          <w:highlight w:val="none"/>
        </w:rPr>
        <w:t>二、电子证书有关使用要求</w:t>
      </w:r>
    </w:p>
    <w:p w14:paraId="4E7E6260">
      <w:pPr>
        <w:rPr>
          <w:rFonts w:ascii="宋体" w:cs="宋体"/>
          <w:b/>
          <w:bCs/>
          <w:color w:val="auto"/>
          <w:sz w:val="28"/>
          <w:szCs w:val="28"/>
          <w:highlight w:val="none"/>
        </w:rPr>
      </w:pPr>
      <w:r>
        <w:rPr>
          <w:rFonts w:ascii="宋体" w:cs="宋体"/>
          <w:b/>
          <w:bCs/>
          <w:color w:val="auto"/>
          <w:sz w:val="28"/>
          <w:szCs w:val="28"/>
          <w:highlight w:val="none"/>
        </w:rPr>
        <w:t>（一）一级建造师可登录国家政务服务平台、住房和城乡建设部政务服务门户查看和下载电子证书，具体操作流程可查阅《住房和城乡建设部一级建造师电子证照申领和使用手册》。查看和下载电子证书时，本人应确认该证书的使用时限。电子证书使用时限为180天，但使用时限距注册专业有效期或建造师满65周岁不足180天的，使用时限截止日期以注册专业有效期截止日期或建造师满65周岁当日为准。超出使用时限的电子证书无效，需重新下载电子证书并再次确认使用时限。</w:t>
      </w:r>
    </w:p>
    <w:p w14:paraId="4E7E6261">
      <w:pPr>
        <w:rPr>
          <w:rFonts w:ascii="宋体" w:cs="宋体"/>
          <w:b/>
          <w:bCs/>
          <w:color w:val="auto"/>
          <w:sz w:val="28"/>
          <w:szCs w:val="28"/>
          <w:highlight w:val="none"/>
        </w:rPr>
      </w:pPr>
      <w:r>
        <w:rPr>
          <w:rFonts w:ascii="宋体" w:cs="宋体"/>
          <w:b/>
          <w:bCs/>
          <w:color w:val="auto"/>
          <w:sz w:val="28"/>
          <w:szCs w:val="28"/>
          <w:highlight w:val="none"/>
        </w:rPr>
        <w:t>（二）一级建造师打印电子证书后，应在个人签名处手写本人签名，未手写签名或与签名图像笔迹不一致的，该电子证书无效。</w:t>
      </w:r>
    </w:p>
    <w:p w14:paraId="4E7E6262">
      <w:pPr>
        <w:rPr>
          <w:rFonts w:ascii="宋体" w:cs="宋体"/>
          <w:b/>
          <w:bCs/>
          <w:color w:val="auto"/>
          <w:sz w:val="28"/>
          <w:szCs w:val="28"/>
          <w:highlight w:val="none"/>
        </w:rPr>
      </w:pPr>
      <w:r>
        <w:rPr>
          <w:rFonts w:ascii="宋体" w:cs="宋体"/>
          <w:b/>
          <w:bCs/>
          <w:color w:val="auto"/>
          <w:sz w:val="28"/>
          <w:szCs w:val="28"/>
          <w:highlight w:val="none"/>
        </w:rPr>
        <w:t>（三）一级建造师应妥善保管本人的国家政务服务平台账号，因本人保管不善造成账号信息泄露所产生的一切后果由本人承担。</w:t>
      </w:r>
    </w:p>
    <w:p w14:paraId="4E7E6263">
      <w:pPr>
        <w:rPr>
          <w:rFonts w:ascii="宋体" w:cs="宋体"/>
          <w:b/>
          <w:bCs/>
          <w:color w:val="auto"/>
          <w:sz w:val="28"/>
          <w:szCs w:val="28"/>
          <w:highlight w:val="none"/>
        </w:rPr>
      </w:pPr>
      <w:r>
        <w:rPr>
          <w:rFonts w:ascii="宋体" w:cs="宋体"/>
          <w:b/>
          <w:bCs/>
          <w:color w:val="auto"/>
          <w:sz w:val="28"/>
          <w:szCs w:val="28"/>
          <w:highlight w:val="none"/>
        </w:rPr>
        <w:t>（四）有关单位和个人可通过“中国建造师网”微信公众号扫描电子证书上的二维码，查询一级建造师注册信息。</w:t>
      </w:r>
    </w:p>
    <w:p w14:paraId="4E7E6264">
      <w:pPr>
        <w:rPr>
          <w:rFonts w:ascii="宋体" w:cs="宋体"/>
          <w:b/>
          <w:bCs/>
          <w:color w:val="auto"/>
          <w:sz w:val="28"/>
          <w:szCs w:val="28"/>
          <w:highlight w:val="none"/>
        </w:rPr>
      </w:pPr>
      <w:r>
        <w:rPr>
          <w:rFonts w:ascii="宋体" w:cs="宋体"/>
          <w:b/>
          <w:bCs/>
          <w:color w:val="auto"/>
          <w:sz w:val="28"/>
          <w:szCs w:val="28"/>
          <w:highlight w:val="none"/>
        </w:rPr>
        <w:t>（五）电子证书与纸质注册证书的聘用单位信息、个人基本信息、注册专业有效期等不一致的，以电子证书信息为准。电子证书信息发生变更的，需登录国家政务服务平台或住房和城乡建设部政务服务门户重新下载。</w:t>
      </w:r>
    </w:p>
    <w:p w14:paraId="4E7E6265">
      <w:pPr>
        <w:rPr>
          <w:rFonts w:ascii="宋体" w:cs="宋体"/>
          <w:b/>
          <w:bCs/>
          <w:color w:val="auto"/>
          <w:sz w:val="28"/>
          <w:szCs w:val="28"/>
          <w:highlight w:val="none"/>
        </w:rPr>
      </w:pPr>
      <w:r>
        <w:rPr>
          <w:rFonts w:ascii="宋体" w:cs="宋体"/>
          <w:b/>
          <w:bCs/>
          <w:color w:val="auto"/>
          <w:sz w:val="28"/>
          <w:szCs w:val="28"/>
          <w:highlight w:val="none"/>
        </w:rPr>
        <w:t>　　附件：1．一级建造师电子注册证书示例及说明</w:t>
      </w:r>
    </w:p>
    <w:p w14:paraId="4E7E6266">
      <w:pPr>
        <w:rPr>
          <w:rFonts w:ascii="宋体" w:cs="宋体"/>
          <w:b/>
          <w:bCs/>
          <w:color w:val="auto"/>
          <w:sz w:val="28"/>
          <w:szCs w:val="28"/>
          <w:highlight w:val="none"/>
        </w:rPr>
      </w:pPr>
      <w:r>
        <w:rPr>
          <w:rFonts w:ascii="宋体" w:cs="宋体"/>
          <w:b/>
          <w:bCs/>
          <w:color w:val="auto"/>
          <w:sz w:val="28"/>
          <w:szCs w:val="28"/>
          <w:highlight w:val="none"/>
        </w:rPr>
        <w:t>　　　　　2．一级建造师电子注册证书式样</w:t>
      </w:r>
    </w:p>
    <w:p w14:paraId="4E7E6267">
      <w:pPr>
        <w:ind w:left="6465" w:hanging="6465" w:hangingChars="2300"/>
        <w:rPr>
          <w:rFonts w:ascii="宋体" w:cs="宋体"/>
          <w:b/>
          <w:bCs/>
          <w:color w:val="auto"/>
          <w:sz w:val="28"/>
          <w:szCs w:val="28"/>
          <w:highlight w:val="none"/>
        </w:rPr>
      </w:pPr>
      <w:r>
        <w:rPr>
          <w:rFonts w:ascii="宋体" w:cs="宋体"/>
          <w:b/>
          <w:bCs/>
          <w:color w:val="auto"/>
          <w:sz w:val="28"/>
          <w:szCs w:val="28"/>
          <w:highlight w:val="none"/>
        </w:rPr>
        <w:t>　　　　　　　　　　　　　　　　　　　住房和城乡建设部办公厅　　　　　　　　　　　　　　　　　　　　　　　　　　　　　　　　　2021年9月18日</w:t>
      </w:r>
    </w:p>
    <w:p w14:paraId="4E7E6268">
      <w:pPr>
        <w:rPr>
          <w:rFonts w:ascii="宋体" w:cs="宋体"/>
          <w:b/>
          <w:bCs/>
          <w:color w:val="auto"/>
          <w:sz w:val="28"/>
          <w:szCs w:val="28"/>
          <w:highlight w:val="none"/>
        </w:rPr>
      </w:pPr>
      <w:r>
        <w:rPr>
          <w:rFonts w:ascii="宋体" w:cs="宋体"/>
          <w:b/>
          <w:bCs/>
          <w:color w:val="auto"/>
          <w:sz w:val="28"/>
          <w:szCs w:val="28"/>
          <w:highlight w:val="none"/>
        </w:rPr>
        <w:drawing>
          <wp:inline distT="0" distB="0" distL="0" distR="0">
            <wp:extent cx="5486400" cy="7315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86400" cy="7315200"/>
                    </a:xfrm>
                    <a:prstGeom prst="rect">
                      <a:avLst/>
                    </a:prstGeom>
                    <a:noFill/>
                    <a:ln>
                      <a:noFill/>
                    </a:ln>
                  </pic:spPr>
                </pic:pic>
              </a:graphicData>
            </a:graphic>
          </wp:inline>
        </w:drawing>
      </w:r>
      <w:r>
        <w:rPr>
          <w:rFonts w:ascii="宋体" w:cs="宋体"/>
          <w:b/>
          <w:bCs/>
          <w:color w:val="auto"/>
          <w:sz w:val="28"/>
          <w:szCs w:val="28"/>
          <w:highlight w:val="none"/>
        </w:rPr>
        <w:drawing>
          <wp:inline distT="0" distB="0" distL="0" distR="0">
            <wp:extent cx="5486400" cy="76568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86400" cy="7656830"/>
                    </a:xfrm>
                    <a:prstGeom prst="rect">
                      <a:avLst/>
                    </a:prstGeom>
                    <a:noFill/>
                    <a:ln>
                      <a:noFill/>
                    </a:ln>
                  </pic:spPr>
                </pic:pic>
              </a:graphicData>
            </a:graphic>
          </wp:inline>
        </w:drawing>
      </w:r>
    </w:p>
    <w:p w14:paraId="4E7E6269">
      <w:pPr>
        <w:rPr>
          <w:rFonts w:ascii="宋体" w:cs="宋体"/>
          <w:b/>
          <w:bCs/>
          <w:color w:val="auto"/>
          <w:sz w:val="28"/>
          <w:szCs w:val="28"/>
          <w:highlight w:val="none"/>
        </w:rPr>
      </w:pPr>
    </w:p>
    <w:p w14:paraId="4E7E626A">
      <w:pPr>
        <w:rPr>
          <w:rFonts w:ascii="宋体" w:cs="宋体"/>
          <w:b/>
          <w:bCs/>
          <w:color w:val="auto"/>
          <w:sz w:val="28"/>
          <w:szCs w:val="28"/>
          <w:highlight w:val="none"/>
        </w:rPr>
      </w:pPr>
    </w:p>
    <w:p w14:paraId="4E7E626B">
      <w:pPr>
        <w:rPr>
          <w:rFonts w:ascii="宋体" w:cs="宋体"/>
          <w:b/>
          <w:bCs/>
          <w:color w:val="auto"/>
          <w:sz w:val="28"/>
          <w:szCs w:val="28"/>
          <w:highlight w:val="none"/>
        </w:rPr>
      </w:pPr>
    </w:p>
    <w:p w14:paraId="4E7E626C">
      <w:pPr>
        <w:rPr>
          <w:rFonts w:ascii="宋体" w:cs="宋体"/>
          <w:b/>
          <w:bCs/>
          <w:color w:val="auto"/>
          <w:sz w:val="28"/>
          <w:szCs w:val="28"/>
          <w:highlight w:val="none"/>
        </w:rPr>
      </w:pPr>
    </w:p>
    <w:p w14:paraId="4E7E626D">
      <w:pPr>
        <w:rPr>
          <w:rFonts w:ascii="宋体" w:cs="宋体"/>
          <w:b/>
          <w:bCs/>
          <w:color w:val="auto"/>
          <w:sz w:val="28"/>
          <w:szCs w:val="28"/>
          <w:highlight w:val="none"/>
        </w:rPr>
      </w:pPr>
    </w:p>
    <w:p w14:paraId="4E7E626E">
      <w:pPr>
        <w:jc w:val="center"/>
        <w:rPr>
          <w:rFonts w:ascii="宋体" w:cs="宋体"/>
          <w:b/>
          <w:bCs/>
          <w:color w:val="auto"/>
          <w:sz w:val="28"/>
          <w:szCs w:val="28"/>
          <w:highlight w:val="none"/>
        </w:rPr>
      </w:pPr>
      <w:r>
        <w:rPr>
          <w:rFonts w:hint="eastAsia" w:ascii="宋体" w:cs="宋体"/>
          <w:b/>
          <w:bCs/>
          <w:color w:val="auto"/>
          <w:sz w:val="28"/>
          <w:szCs w:val="28"/>
          <w:highlight w:val="none"/>
        </w:rPr>
        <w:br w:type="page"/>
      </w:r>
      <w:bookmarkEnd w:id="25"/>
      <w:bookmarkEnd w:id="26"/>
      <w:r>
        <w:rPr>
          <w:rFonts w:hint="eastAsia" w:ascii="宋体" w:cs="宋体"/>
          <w:b/>
          <w:bCs/>
          <w:color w:val="auto"/>
          <w:sz w:val="28"/>
          <w:szCs w:val="28"/>
          <w:highlight w:val="none"/>
        </w:rPr>
        <w:t>第三章 合同</w:t>
      </w:r>
    </w:p>
    <w:p w14:paraId="4E7E626F">
      <w:pPr>
        <w:spacing w:line="600" w:lineRule="exact"/>
        <w:ind w:left="210" w:leftChars="100" w:right="480"/>
        <w:jc w:val="center"/>
        <w:rPr>
          <w:rFonts w:ascii="宋体" w:cs="宋体"/>
          <w:b/>
          <w:bCs/>
          <w:color w:val="auto"/>
          <w:sz w:val="32"/>
          <w:szCs w:val="32"/>
          <w:highlight w:val="none"/>
        </w:rPr>
      </w:pPr>
      <w:r>
        <w:rPr>
          <w:rFonts w:hint="eastAsia" w:ascii="宋体" w:cs="宋体"/>
          <w:b/>
          <w:bCs/>
          <w:color w:val="auto"/>
          <w:sz w:val="32"/>
          <w:szCs w:val="32"/>
          <w:highlight w:val="none"/>
        </w:rPr>
        <w:t>江苏商贸职业学院零星维修工程施工队伍招标项目</w:t>
      </w:r>
    </w:p>
    <w:p w14:paraId="4E7E6270">
      <w:pPr>
        <w:wordWrap w:val="0"/>
        <w:spacing w:line="600" w:lineRule="exact"/>
        <w:ind w:right="480" w:firstLine="6960" w:firstLineChars="2900"/>
        <w:rPr>
          <w:rFonts w:ascii="宋体" w:cs="宋体"/>
          <w:color w:val="auto"/>
          <w:kern w:val="0"/>
          <w:sz w:val="24"/>
          <w:highlight w:val="none"/>
        </w:rPr>
      </w:pPr>
      <w:r>
        <w:rPr>
          <w:rFonts w:hint="eastAsia" w:ascii="宋体" w:cs="宋体"/>
          <w:color w:val="auto"/>
          <w:kern w:val="0"/>
          <w:sz w:val="24"/>
          <w:highlight w:val="none"/>
        </w:rPr>
        <w:t>编号：</w:t>
      </w:r>
    </w:p>
    <w:p w14:paraId="4E7E6271">
      <w:pPr>
        <w:spacing w:line="480" w:lineRule="exact"/>
        <w:jc w:val="center"/>
        <w:rPr>
          <w:rFonts w:ascii="宋体" w:cs="宋体"/>
          <w:b/>
          <w:color w:val="auto"/>
          <w:kern w:val="0"/>
          <w:sz w:val="24"/>
          <w:highlight w:val="none"/>
        </w:rPr>
      </w:pPr>
      <w:r>
        <w:rPr>
          <w:rFonts w:hint="eastAsia" w:ascii="宋体" w:cs="宋体"/>
          <w:b/>
          <w:color w:val="auto"/>
          <w:sz w:val="30"/>
          <w:szCs w:val="30"/>
          <w:highlight w:val="none"/>
        </w:rPr>
        <w:t>第一部分 合同协议书</w:t>
      </w:r>
    </w:p>
    <w:p w14:paraId="4E7E6272">
      <w:pPr>
        <w:spacing w:line="480" w:lineRule="exact"/>
        <w:rPr>
          <w:rFonts w:ascii="宋体" w:cs="宋体"/>
          <w:color w:val="auto"/>
          <w:kern w:val="0"/>
          <w:sz w:val="24"/>
          <w:highlight w:val="none"/>
        </w:rPr>
      </w:pPr>
      <w:r>
        <w:rPr>
          <w:rFonts w:hint="eastAsia" w:ascii="宋体" w:cs="宋体"/>
          <w:color w:val="auto"/>
          <w:kern w:val="0"/>
          <w:sz w:val="24"/>
          <w:highlight w:val="none"/>
        </w:rPr>
        <w:t>甲方（发包人）：江苏商贸职业学院</w:t>
      </w:r>
    </w:p>
    <w:p w14:paraId="4E7E6273">
      <w:pPr>
        <w:spacing w:line="480" w:lineRule="exact"/>
        <w:rPr>
          <w:rFonts w:ascii="宋体" w:cs="宋体"/>
          <w:color w:val="auto"/>
          <w:kern w:val="0"/>
          <w:sz w:val="24"/>
          <w:highlight w:val="none"/>
        </w:rPr>
      </w:pPr>
      <w:r>
        <w:rPr>
          <w:rFonts w:hint="eastAsia" w:ascii="宋体" w:cs="宋体"/>
          <w:color w:val="auto"/>
          <w:kern w:val="0"/>
          <w:sz w:val="24"/>
          <w:highlight w:val="none"/>
        </w:rPr>
        <w:t>乙方（承包人）：</w:t>
      </w:r>
    </w:p>
    <w:p w14:paraId="4E7E6274">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甲方</w:t>
      </w:r>
      <w:r>
        <w:rPr>
          <w:rFonts w:hint="eastAsia" w:ascii="宋体" w:cs="宋体"/>
          <w:b/>
          <w:bCs/>
          <w:color w:val="auto"/>
          <w:kern w:val="0"/>
          <w:sz w:val="24"/>
          <w:highlight w:val="none"/>
        </w:rPr>
        <w:t>江苏商贸职业学院零星维修工程施工队伍招标项目</w:t>
      </w:r>
      <w:r>
        <w:rPr>
          <w:rFonts w:hint="eastAsia" w:ascii="宋体" w:cs="宋体"/>
          <w:color w:val="auto"/>
          <w:kern w:val="0"/>
          <w:sz w:val="24"/>
          <w:highlight w:val="none"/>
        </w:rPr>
        <w:t>，经招标由乙方中标施工，中标价（即合同价）为下浮率</w:t>
      </w:r>
      <w:r>
        <w:rPr>
          <w:rFonts w:hint="eastAsia" w:ascii="宋体" w:cs="宋体"/>
          <w:color w:val="auto"/>
          <w:kern w:val="0"/>
          <w:sz w:val="24"/>
          <w:highlight w:val="none"/>
          <w:u w:val="single"/>
        </w:rPr>
        <w:t xml:space="preserve">            %</w:t>
      </w:r>
      <w:r>
        <w:rPr>
          <w:rFonts w:hint="eastAsia" w:ascii="宋体" w:cs="宋体"/>
          <w:color w:val="auto"/>
          <w:kern w:val="0"/>
          <w:sz w:val="24"/>
          <w:highlight w:val="none"/>
        </w:rPr>
        <w:t>，双方协议如下：</w:t>
      </w:r>
    </w:p>
    <w:p w14:paraId="4E7E6275">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一、主要工作内容：</w:t>
      </w:r>
      <w:r>
        <w:rPr>
          <w:rFonts w:hint="eastAsia" w:ascii="宋体" w:cs="宋体"/>
          <w:color w:val="auto"/>
          <w:kern w:val="11"/>
          <w:sz w:val="24"/>
          <w:highlight w:val="none"/>
        </w:rPr>
        <w:t>工程造价5万元以内（含5万元）零星维修工程（包括小零修、中修、专项、应急抢险维修工程，涵盖水电、土建、幕墙及登高作业等零星工程），其中特种设备有第三方维保单位的，如电梯、消防、燃气、高压不在本次招标范围。</w:t>
      </w:r>
    </w:p>
    <w:p w14:paraId="4E7E6276">
      <w:pPr>
        <w:spacing w:line="480" w:lineRule="exact"/>
        <w:ind w:firstLine="480" w:firstLineChars="200"/>
        <w:rPr>
          <w:rFonts w:ascii="宋体" w:cs="宋体"/>
          <w:color w:val="auto"/>
          <w:kern w:val="0"/>
          <w:sz w:val="24"/>
          <w:highlight w:val="none"/>
        </w:rPr>
      </w:pPr>
      <w:bookmarkStart w:id="27" w:name="OLE_LINK1"/>
      <w:r>
        <w:rPr>
          <w:rFonts w:hint="eastAsia" w:ascii="宋体" w:cs="宋体"/>
          <w:color w:val="auto"/>
          <w:kern w:val="0"/>
          <w:sz w:val="24"/>
          <w:highlight w:val="none"/>
        </w:rPr>
        <w:t>二、项目地点：江苏商贸职业学院校本部。</w:t>
      </w:r>
    </w:p>
    <w:p w14:paraId="4E7E6277">
      <w:pPr>
        <w:spacing w:line="480" w:lineRule="exact"/>
        <w:ind w:firstLine="480" w:firstLineChars="200"/>
        <w:rPr>
          <w:rFonts w:ascii="宋体" w:cs="宋体"/>
          <w:color w:val="auto"/>
          <w:sz w:val="24"/>
          <w:highlight w:val="none"/>
        </w:rPr>
      </w:pPr>
      <w:r>
        <w:rPr>
          <w:rFonts w:hint="eastAsia" w:ascii="宋体" w:cs="宋体"/>
          <w:color w:val="auto"/>
          <w:kern w:val="0"/>
          <w:sz w:val="24"/>
          <w:highlight w:val="none"/>
        </w:rPr>
        <w:t>三、服务期限：合同有效期为3年，合同一年一签，第一年合同履行时间2</w:t>
      </w:r>
      <w:r>
        <w:rPr>
          <w:rFonts w:ascii="宋体" w:cs="宋体"/>
          <w:color w:val="auto"/>
          <w:kern w:val="0"/>
          <w:sz w:val="24"/>
          <w:highlight w:val="none"/>
        </w:rPr>
        <w:t>026</w:t>
      </w:r>
      <w:r>
        <w:rPr>
          <w:rFonts w:hint="eastAsia" w:ascii="宋体" w:cs="宋体"/>
          <w:color w:val="auto"/>
          <w:kern w:val="0"/>
          <w:sz w:val="24"/>
          <w:highlight w:val="none"/>
        </w:rPr>
        <w:t>年</w:t>
      </w:r>
      <w:r>
        <w:rPr>
          <w:rFonts w:ascii="宋体" w:cs="宋体"/>
          <w:color w:val="auto"/>
          <w:kern w:val="0"/>
          <w:sz w:val="24"/>
          <w:highlight w:val="none"/>
        </w:rPr>
        <w:t>9</w:t>
      </w:r>
      <w:r>
        <w:rPr>
          <w:rFonts w:hint="eastAsia" w:ascii="宋体" w:cs="宋体"/>
          <w:color w:val="auto"/>
          <w:kern w:val="0"/>
          <w:sz w:val="24"/>
          <w:highlight w:val="none"/>
        </w:rPr>
        <w:t xml:space="preserve">月 </w:t>
      </w:r>
      <w:r>
        <w:rPr>
          <w:rFonts w:ascii="宋体" w:cs="宋体"/>
          <w:color w:val="auto"/>
          <w:kern w:val="0"/>
          <w:sz w:val="24"/>
          <w:highlight w:val="none"/>
          <w:u w:val="single"/>
        </w:rPr>
        <w:t xml:space="preserve"> </w:t>
      </w:r>
      <w:r>
        <w:rPr>
          <w:rFonts w:hint="eastAsia" w:ascii="宋体" w:cs="宋体"/>
          <w:color w:val="auto"/>
          <w:kern w:val="0"/>
          <w:sz w:val="24"/>
          <w:highlight w:val="none"/>
        </w:rPr>
        <w:t>日</w:t>
      </w:r>
      <w:r>
        <w:rPr>
          <w:rFonts w:ascii="宋体" w:cs="宋体"/>
          <w:color w:val="auto"/>
          <w:kern w:val="0"/>
          <w:sz w:val="24"/>
          <w:highlight w:val="none"/>
        </w:rPr>
        <w:t>—2027</w:t>
      </w:r>
      <w:r>
        <w:rPr>
          <w:rFonts w:hint="eastAsia" w:ascii="宋体" w:cs="宋体"/>
          <w:color w:val="auto"/>
          <w:kern w:val="0"/>
          <w:sz w:val="24"/>
          <w:highlight w:val="none"/>
        </w:rPr>
        <w:t>年</w:t>
      </w:r>
      <w:r>
        <w:rPr>
          <w:rFonts w:ascii="宋体" w:cs="宋体"/>
          <w:color w:val="auto"/>
          <w:kern w:val="0"/>
          <w:sz w:val="24"/>
          <w:highlight w:val="none"/>
        </w:rPr>
        <w:t>9</w:t>
      </w:r>
      <w:r>
        <w:rPr>
          <w:rFonts w:hint="eastAsia" w:ascii="宋体" w:cs="宋体"/>
          <w:color w:val="auto"/>
          <w:kern w:val="0"/>
          <w:sz w:val="24"/>
          <w:highlight w:val="none"/>
        </w:rPr>
        <w:t>月</w:t>
      </w:r>
      <w:r>
        <w:rPr>
          <w:rFonts w:hint="eastAsia" w:ascii="宋体" w:cs="宋体"/>
          <w:color w:val="auto"/>
          <w:kern w:val="0"/>
          <w:sz w:val="24"/>
          <w:highlight w:val="none"/>
          <w:u w:val="single"/>
        </w:rPr>
        <w:t xml:space="preserve"> </w:t>
      </w:r>
      <w:r>
        <w:rPr>
          <w:rFonts w:ascii="宋体" w:cs="宋体"/>
          <w:color w:val="auto"/>
          <w:kern w:val="0"/>
          <w:sz w:val="24"/>
          <w:highlight w:val="none"/>
          <w:u w:val="single"/>
        </w:rPr>
        <w:t xml:space="preserve">  </w:t>
      </w:r>
      <w:r>
        <w:rPr>
          <w:rFonts w:hint="eastAsia" w:ascii="宋体" w:cs="宋体"/>
          <w:color w:val="auto"/>
          <w:kern w:val="0"/>
          <w:sz w:val="24"/>
          <w:highlight w:val="none"/>
        </w:rPr>
        <w:t>日，</w:t>
      </w:r>
      <w:r>
        <w:rPr>
          <w:rFonts w:hint="eastAsia" w:ascii="宋体" w:cs="宋体"/>
          <w:color w:val="auto"/>
          <w:sz w:val="24"/>
          <w:highlight w:val="none"/>
        </w:rPr>
        <w:t>如乙方在合同履行期间能严格按照招标文件要求提供服从甲方的管理、维修质量好、无安全责任事故、服务周到，无投诉，且双方达成一致，经甲方同意，合同价不变，续签合同N年(N≦2)。</w:t>
      </w:r>
    </w:p>
    <w:p w14:paraId="4E7E6278">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四、工期要求：按实际工程由甲方确定。</w:t>
      </w:r>
    </w:p>
    <w:p w14:paraId="4E7E6279">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五、质量标准：工程质量达到合格标准。</w:t>
      </w:r>
    </w:p>
    <w:p w14:paraId="4E7E627A">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六、施工要求：</w:t>
      </w:r>
    </w:p>
    <w:p w14:paraId="4E7E627B">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1、工程所需材料必须具有合格证，质保期二年，质保期内如有质量问题，乙方24小时内无偿修复。</w:t>
      </w:r>
    </w:p>
    <w:p w14:paraId="4E7E627C">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2、乙方不得破坏施工现场原有的设备设施，如有损坏，乙方按价赔偿并按原样恢复。</w:t>
      </w:r>
    </w:p>
    <w:p w14:paraId="4E7E627D">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3、乙方必须文明施工，做到工完场清。</w:t>
      </w:r>
    </w:p>
    <w:p w14:paraId="4E7E627E">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七、项目部相关要求</w:t>
      </w:r>
    </w:p>
    <w:p w14:paraId="4E7E627F">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因承诺服务的不确定性和响应时间的严谨性，需要项目部人员随时待命和及时应对，施工管理人员与施工人员配备合理。</w:t>
      </w:r>
    </w:p>
    <w:p w14:paraId="4E7E6280">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八、双方责任：</w:t>
      </w:r>
    </w:p>
    <w:p w14:paraId="4E7E6281">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（一）甲方责任：</w:t>
      </w:r>
    </w:p>
    <w:p w14:paraId="4E7E6282">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1、甲方负责为乙方施工提供施工场地及临时用水、用电等设施位置；</w:t>
      </w:r>
    </w:p>
    <w:p w14:paraId="4E7E6283">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2、甲方负责施工现场安全生产、材料质量、施工进度、工程验收的监督与管理；</w:t>
      </w:r>
    </w:p>
    <w:p w14:paraId="4E7E6284">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3、甲方负责为乙方办理工程签证、工程量审核、结算初审、工程款拨付等手续。</w:t>
      </w:r>
    </w:p>
    <w:p w14:paraId="4E7E6285">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（二）乙方责任：</w:t>
      </w:r>
    </w:p>
    <w:p w14:paraId="4E7E6286">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1、乙方现场项目经理（即项目负责人）为</w:t>
      </w:r>
      <w:r>
        <w:rPr>
          <w:rFonts w:hint="eastAsia" w:ascii="宋体" w:cs="宋体"/>
          <w:color w:val="auto"/>
          <w:kern w:val="0"/>
          <w:sz w:val="24"/>
          <w:highlight w:val="none"/>
          <w:u w:val="single"/>
        </w:rPr>
        <w:t xml:space="preserve">           </w:t>
      </w:r>
      <w:r>
        <w:rPr>
          <w:rFonts w:hint="eastAsia" w:ascii="宋体" w:cs="宋体"/>
          <w:color w:val="auto"/>
          <w:kern w:val="0"/>
          <w:sz w:val="24"/>
          <w:highlight w:val="none"/>
        </w:rPr>
        <w:t>，乙方必须服从甲方统一指挥、调配、指导及管理，遵守甲方施工现场各项管理规定，做到安全生产、文明施工；</w:t>
      </w:r>
    </w:p>
    <w:p w14:paraId="4E7E6287">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2、乙方必须确保施工现场人员的技术素质，特殊工种必须持证上岗。未经甲方许可，乙方不得随意更换施工队伍及人员；</w:t>
      </w:r>
    </w:p>
    <w:p w14:paraId="4E7E6288">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3、乙方需按照本工程招标文件及本合同中的相关要求及甲方要求进行施工，主要材料进场必须及时报验。报验材料需提供样品，并附同批次质量检测报告。甲方有权对进场材料进行抽检，经检测不合格的材料严禁使用；</w:t>
      </w:r>
    </w:p>
    <w:p w14:paraId="4E7E6289">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4、</w:t>
      </w:r>
      <w:bookmarkEnd w:id="27"/>
      <w:r>
        <w:rPr>
          <w:rFonts w:hint="eastAsia" w:ascii="宋体" w:cs="宋体"/>
          <w:color w:val="auto"/>
          <w:kern w:val="0"/>
          <w:sz w:val="24"/>
          <w:highlight w:val="none"/>
        </w:rPr>
        <w:t>乙方施工时遇到未知管道线路对施工造成影响的必须及时通知甲方，不可擅自处理；</w:t>
      </w:r>
    </w:p>
    <w:p w14:paraId="4E7E628A">
      <w:pPr>
        <w:spacing w:line="480" w:lineRule="exact"/>
        <w:ind w:firstLine="556"/>
        <w:rPr>
          <w:rFonts w:ascii="宋体" w:cs="宋体"/>
          <w:color w:val="auto"/>
          <w:kern w:val="0"/>
          <w:sz w:val="24"/>
          <w:highlight w:val="none"/>
        </w:rPr>
      </w:pPr>
      <w:r>
        <w:rPr>
          <w:rFonts w:hint="eastAsia" w:ascii="宋体" w:cs="宋体"/>
          <w:color w:val="auto"/>
          <w:kern w:val="0"/>
          <w:sz w:val="24"/>
          <w:highlight w:val="none"/>
        </w:rPr>
        <w:t>5、工程竣工验收并交付使用前，乙方应做好施工现场成品保护及周边环境保护，及时清运建筑垃圾；</w:t>
      </w:r>
    </w:p>
    <w:p w14:paraId="4E7E628B">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6、其他未尽事宜详见招标文件；</w:t>
      </w:r>
    </w:p>
    <w:p w14:paraId="4E7E628C">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7、乙方必须严格遵守本协议工期约定，工期每延误一天，乙方向甲方交纳工期违约金500元。</w:t>
      </w:r>
    </w:p>
    <w:p w14:paraId="4E7E628D">
      <w:pPr>
        <w:spacing w:line="480" w:lineRule="exact"/>
        <w:ind w:firstLine="556"/>
        <w:rPr>
          <w:rFonts w:ascii="宋体" w:cs="宋体"/>
          <w:color w:val="auto"/>
          <w:kern w:val="0"/>
          <w:sz w:val="24"/>
          <w:highlight w:val="none"/>
        </w:rPr>
      </w:pPr>
      <w:r>
        <w:rPr>
          <w:rFonts w:hint="eastAsia" w:ascii="宋体" w:cs="宋体"/>
          <w:color w:val="auto"/>
          <w:kern w:val="0"/>
          <w:sz w:val="24"/>
          <w:highlight w:val="none"/>
        </w:rPr>
        <w:t>九、工程竣工结算审核原则：</w:t>
      </w:r>
    </w:p>
    <w:p w14:paraId="4E7E628E">
      <w:pPr>
        <w:autoSpaceDE w:val="0"/>
        <w:autoSpaceDN w:val="0"/>
        <w:adjustRightInd w:val="0"/>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1、《建设工程工程量清单计价标准》（GB/T50500-2024）及《房屋建筑与装饰工程工程量计算标准》（GB/T50854-2024）、《通用安装工程工程量计算标准》（GB/T50856-2024）工程量计算标准。省住房和城乡建设厅关于实施《建设工程工程量清单计价标准》（GB/T50500-2024）及9本工程量计算标准有关事宜的公告（2025）第12号；《江苏省建筑与装饰工程消耗量》《江苏省市政工程消耗量》《江苏省通用安装工程消耗量》《江苏省建设工程费用参考》及《江苏建设工程施工机具台班费用参考表》；国家及省级、行业建设主管部门颁发的工程计量与计价相关规定，以及根据工程需要补充的工程量计算规则。</w:t>
      </w:r>
    </w:p>
    <w:p w14:paraId="4E7E628F">
      <w:pPr>
        <w:autoSpaceDE w:val="0"/>
        <w:autoSpaceDN w:val="0"/>
        <w:adjustRightInd w:val="0"/>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2、人工工资执行</w:t>
      </w:r>
      <w:r>
        <w:rPr>
          <w:rFonts w:hint="eastAsia" w:ascii="宋体" w:hAnsi="宋体"/>
          <w:b/>
          <w:color w:val="auto"/>
          <w:sz w:val="24"/>
          <w:highlight w:val="none"/>
          <w:u w:val="single"/>
        </w:rPr>
        <w:t>普工140元/工日、一般技工和高级技工均为250元/工日</w:t>
      </w:r>
      <w:r>
        <w:rPr>
          <w:rFonts w:hint="eastAsia" w:ascii="宋体" w:hAnsi="宋体"/>
          <w:bCs/>
          <w:color w:val="auto"/>
          <w:sz w:val="24"/>
          <w:highlight w:val="none"/>
        </w:rPr>
        <w:t>、机械台班单价按江苏省建设工程施工机具台班采用参考表，材料参照同期南通市建设工程主要材料价格指数中的价格及市场价。若同期南通市建设工程主要材料价格指数无价格的材料，则按甲方认价为准，认价材料不下浮。</w:t>
      </w:r>
    </w:p>
    <w:p w14:paraId="4E7E6290">
      <w:pPr>
        <w:autoSpaceDE w:val="0"/>
        <w:autoSpaceDN w:val="0"/>
        <w:adjustRightInd w:val="0"/>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3、招标文件第16.2条款全部内容。</w:t>
      </w:r>
    </w:p>
    <w:p w14:paraId="4E7E6291">
      <w:pPr>
        <w:autoSpaceDE w:val="0"/>
        <w:autoSpaceDN w:val="0"/>
        <w:adjustRightInd w:val="0"/>
        <w:spacing w:line="520" w:lineRule="exact"/>
        <w:ind w:firstLine="480" w:firstLineChars="200"/>
        <w:rPr>
          <w:rFonts w:ascii="宋体" w:hAnsi="宋体"/>
          <w:bCs/>
          <w:color w:val="auto"/>
          <w:kern w:val="0"/>
          <w:sz w:val="24"/>
          <w:highlight w:val="none"/>
        </w:rPr>
      </w:pPr>
      <w:r>
        <w:rPr>
          <w:rFonts w:hint="eastAsia" w:ascii="宋体" w:hAnsi="宋体"/>
          <w:bCs/>
          <w:color w:val="auto"/>
          <w:sz w:val="24"/>
          <w:highlight w:val="none"/>
        </w:rPr>
        <w:t>4、相关费率计取见下表，其余不计取：</w:t>
      </w:r>
    </w:p>
    <w:tbl>
      <w:tblPr>
        <w:tblStyle w:val="35"/>
        <w:tblW w:w="9433" w:type="dxa"/>
        <w:tblInd w:w="108" w:type="dxa"/>
        <w:tblLayout w:type="fixed"/>
        <w:tblCellMar>
          <w:top w:w="0" w:type="dxa"/>
          <w:left w:w="108" w:type="dxa"/>
          <w:bottom w:w="0" w:type="dxa"/>
          <w:right w:w="108" w:type="dxa"/>
        </w:tblCellMar>
      </w:tblPr>
      <w:tblGrid>
        <w:gridCol w:w="477"/>
        <w:gridCol w:w="1470"/>
        <w:gridCol w:w="2410"/>
        <w:gridCol w:w="824"/>
        <w:gridCol w:w="850"/>
        <w:gridCol w:w="851"/>
        <w:gridCol w:w="850"/>
        <w:gridCol w:w="850"/>
        <w:gridCol w:w="851"/>
      </w:tblGrid>
      <w:tr w14:paraId="4E7E629B">
        <w:tblPrEx>
          <w:tblCellMar>
            <w:top w:w="0" w:type="dxa"/>
            <w:left w:w="108" w:type="dxa"/>
            <w:bottom w:w="0" w:type="dxa"/>
            <w:right w:w="108" w:type="dxa"/>
          </w:tblCellMar>
        </w:tblPrEx>
        <w:trPr>
          <w:trHeight w:val="569"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292">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序号</w:t>
            </w:r>
          </w:p>
        </w:tc>
        <w:tc>
          <w:tcPr>
            <w:tcW w:w="1470" w:type="dxa"/>
            <w:tcBorders>
              <w:top w:val="single" w:color="auto" w:sz="4" w:space="0"/>
              <w:left w:val="single" w:color="auto" w:sz="4" w:space="0"/>
              <w:bottom w:val="single" w:color="auto" w:sz="4" w:space="0"/>
              <w:right w:val="single" w:color="auto" w:sz="4" w:space="0"/>
            </w:tcBorders>
            <w:vAlign w:val="center"/>
          </w:tcPr>
          <w:p w14:paraId="4E7E6293">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项目</w:t>
            </w:r>
          </w:p>
        </w:tc>
        <w:tc>
          <w:tcPr>
            <w:tcW w:w="2410" w:type="dxa"/>
            <w:tcBorders>
              <w:top w:val="single" w:color="auto" w:sz="4" w:space="0"/>
              <w:left w:val="single" w:color="auto" w:sz="4" w:space="0"/>
              <w:bottom w:val="single" w:color="auto" w:sz="4" w:space="0"/>
              <w:right w:val="single" w:color="auto" w:sz="4" w:space="0"/>
            </w:tcBorders>
            <w:vAlign w:val="center"/>
          </w:tcPr>
          <w:p w14:paraId="4E7E6294">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计费基数</w:t>
            </w:r>
          </w:p>
        </w:tc>
        <w:tc>
          <w:tcPr>
            <w:tcW w:w="824" w:type="dxa"/>
            <w:tcBorders>
              <w:top w:val="single" w:color="auto" w:sz="4" w:space="0"/>
              <w:left w:val="single" w:color="auto" w:sz="4" w:space="0"/>
              <w:bottom w:val="single" w:color="auto" w:sz="4" w:space="0"/>
              <w:right w:val="single" w:color="auto" w:sz="4" w:space="0"/>
            </w:tcBorders>
            <w:vAlign w:val="center"/>
          </w:tcPr>
          <w:p w14:paraId="4E7E6295">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土建（%）</w:t>
            </w:r>
          </w:p>
        </w:tc>
        <w:tc>
          <w:tcPr>
            <w:tcW w:w="850" w:type="dxa"/>
            <w:tcBorders>
              <w:top w:val="single" w:color="auto" w:sz="4" w:space="0"/>
              <w:left w:val="single" w:color="auto" w:sz="4" w:space="0"/>
              <w:bottom w:val="single" w:color="auto" w:sz="4" w:space="0"/>
              <w:right w:val="single" w:color="auto" w:sz="4" w:space="0"/>
            </w:tcBorders>
            <w:vAlign w:val="center"/>
          </w:tcPr>
          <w:p w14:paraId="4E7E6296">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修缮（%）</w:t>
            </w:r>
          </w:p>
        </w:tc>
        <w:tc>
          <w:tcPr>
            <w:tcW w:w="851" w:type="dxa"/>
            <w:tcBorders>
              <w:top w:val="single" w:color="auto" w:sz="4" w:space="0"/>
              <w:left w:val="single" w:color="auto" w:sz="4" w:space="0"/>
              <w:bottom w:val="single" w:color="auto" w:sz="4" w:space="0"/>
              <w:right w:val="single" w:color="auto" w:sz="4" w:space="0"/>
            </w:tcBorders>
            <w:vAlign w:val="center"/>
          </w:tcPr>
          <w:p w14:paraId="4E7E6297">
            <w:pPr>
              <w:tabs>
                <w:tab w:val="left" w:pos="2410"/>
              </w:tabs>
              <w:spacing w:line="360" w:lineRule="auto"/>
              <w:jc w:val="center"/>
              <w:rPr>
                <w:bCs/>
                <w:color w:val="auto"/>
                <w:highlight w:val="none"/>
              </w:rPr>
            </w:pPr>
            <w:r>
              <w:rPr>
                <w:rFonts w:hint="eastAsia" w:ascii="宋体" w:hAnsi="宋体" w:cs="宋体"/>
                <w:bCs/>
                <w:color w:val="auto"/>
                <w:szCs w:val="21"/>
                <w:highlight w:val="none"/>
                <w:lang w:bidi="ar"/>
              </w:rPr>
              <w:t>装饰（%）</w:t>
            </w:r>
          </w:p>
        </w:tc>
        <w:tc>
          <w:tcPr>
            <w:tcW w:w="850" w:type="dxa"/>
            <w:tcBorders>
              <w:top w:val="single" w:color="auto" w:sz="4" w:space="0"/>
              <w:left w:val="single" w:color="auto" w:sz="4" w:space="0"/>
              <w:bottom w:val="single" w:color="auto" w:sz="4" w:space="0"/>
              <w:right w:val="single" w:color="auto" w:sz="4" w:space="0"/>
            </w:tcBorders>
            <w:vAlign w:val="center"/>
          </w:tcPr>
          <w:p w14:paraId="4E7E6298">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市政（%）</w:t>
            </w:r>
          </w:p>
        </w:tc>
        <w:tc>
          <w:tcPr>
            <w:tcW w:w="850" w:type="dxa"/>
            <w:tcBorders>
              <w:top w:val="single" w:color="auto" w:sz="4" w:space="0"/>
              <w:left w:val="single" w:color="auto" w:sz="4" w:space="0"/>
              <w:bottom w:val="single" w:color="auto" w:sz="4" w:space="0"/>
              <w:right w:val="single" w:color="auto" w:sz="4" w:space="0"/>
            </w:tcBorders>
            <w:vAlign w:val="center"/>
          </w:tcPr>
          <w:p w14:paraId="4E7E6299">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安装（%）</w:t>
            </w:r>
          </w:p>
        </w:tc>
        <w:tc>
          <w:tcPr>
            <w:tcW w:w="851" w:type="dxa"/>
            <w:tcBorders>
              <w:top w:val="single" w:color="auto" w:sz="4" w:space="0"/>
              <w:left w:val="single" w:color="auto" w:sz="4" w:space="0"/>
              <w:bottom w:val="single" w:color="auto" w:sz="4" w:space="0"/>
              <w:right w:val="single" w:color="auto" w:sz="4" w:space="0"/>
            </w:tcBorders>
            <w:vAlign w:val="center"/>
          </w:tcPr>
          <w:p w14:paraId="4E7E629A">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加固（%）</w:t>
            </w:r>
          </w:p>
        </w:tc>
      </w:tr>
      <w:tr w14:paraId="4E7E62A5">
        <w:tblPrEx>
          <w:tblCellMar>
            <w:top w:w="0" w:type="dxa"/>
            <w:left w:w="108" w:type="dxa"/>
            <w:bottom w:w="0" w:type="dxa"/>
            <w:right w:w="108" w:type="dxa"/>
          </w:tblCellMar>
        </w:tblPrEx>
        <w:trPr>
          <w:trHeight w:val="517" w:hRule="atLeast"/>
        </w:trPr>
        <w:tc>
          <w:tcPr>
            <w:tcW w:w="477" w:type="dxa"/>
            <w:vMerge w:val="restart"/>
            <w:tcBorders>
              <w:top w:val="single" w:color="auto" w:sz="4" w:space="0"/>
              <w:left w:val="single" w:color="auto" w:sz="4" w:space="0"/>
              <w:right w:val="single" w:color="auto" w:sz="4" w:space="0"/>
            </w:tcBorders>
            <w:vAlign w:val="center"/>
          </w:tcPr>
          <w:p w14:paraId="4E7E629C">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w:t>
            </w:r>
          </w:p>
        </w:tc>
        <w:tc>
          <w:tcPr>
            <w:tcW w:w="1470" w:type="dxa"/>
            <w:vMerge w:val="restart"/>
            <w:tcBorders>
              <w:top w:val="single" w:color="auto" w:sz="4" w:space="0"/>
              <w:left w:val="single" w:color="auto" w:sz="4" w:space="0"/>
              <w:right w:val="single" w:color="auto" w:sz="4" w:space="0"/>
            </w:tcBorders>
            <w:vAlign w:val="center"/>
          </w:tcPr>
          <w:p w14:paraId="4E7E629D">
            <w:pPr>
              <w:tabs>
                <w:tab w:val="left" w:pos="2410"/>
              </w:tabs>
              <w:spacing w:line="360" w:lineRule="auto"/>
              <w:jc w:val="center"/>
              <w:rPr>
                <w:rFonts w:ascii="宋体" w:cs="宋体"/>
                <w:bCs/>
                <w:color w:val="auto"/>
                <w:sz w:val="24"/>
                <w:highlight w:val="none"/>
              </w:rPr>
            </w:pPr>
            <w:r>
              <w:rPr>
                <w:rFonts w:hint="eastAsia" w:ascii="宋体" w:cs="宋体"/>
                <w:bCs/>
                <w:color w:val="auto"/>
                <w:sz w:val="24"/>
                <w:highlight w:val="none"/>
              </w:rPr>
              <w:t>管理费</w:t>
            </w:r>
          </w:p>
        </w:tc>
        <w:tc>
          <w:tcPr>
            <w:tcW w:w="2410" w:type="dxa"/>
            <w:tcBorders>
              <w:top w:val="single" w:color="auto" w:sz="4" w:space="0"/>
              <w:left w:val="single" w:color="auto" w:sz="4" w:space="0"/>
              <w:bottom w:val="single" w:color="auto" w:sz="4" w:space="0"/>
              <w:right w:val="single" w:color="auto" w:sz="4" w:space="0"/>
            </w:tcBorders>
            <w:vAlign w:val="center"/>
          </w:tcPr>
          <w:p w14:paraId="4E7E629E">
            <w:pPr>
              <w:tabs>
                <w:tab w:val="left" w:pos="2410"/>
              </w:tabs>
              <w:spacing w:line="360" w:lineRule="auto"/>
              <w:jc w:val="center"/>
              <w:rPr>
                <w:rFonts w:ascii="宋体" w:cs="宋体"/>
                <w:bCs/>
                <w:color w:val="auto"/>
                <w:sz w:val="24"/>
                <w:highlight w:val="none"/>
              </w:rPr>
            </w:pPr>
            <w:r>
              <w:rPr>
                <w:rFonts w:hint="eastAsia" w:ascii="宋体" w:cs="宋体"/>
                <w:bCs/>
                <w:color w:val="auto"/>
                <w:sz w:val="24"/>
                <w:highlight w:val="none"/>
              </w:rPr>
              <w:t>人工费+机械费</w:t>
            </w:r>
          </w:p>
        </w:tc>
        <w:tc>
          <w:tcPr>
            <w:tcW w:w="824" w:type="dxa"/>
            <w:tcBorders>
              <w:top w:val="single" w:color="auto" w:sz="4" w:space="0"/>
              <w:left w:val="single" w:color="auto" w:sz="4" w:space="0"/>
              <w:bottom w:val="single" w:color="auto" w:sz="4" w:space="0"/>
              <w:right w:val="single" w:color="auto" w:sz="4" w:space="0"/>
            </w:tcBorders>
            <w:vAlign w:val="center"/>
          </w:tcPr>
          <w:p w14:paraId="4E7E629F">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26</w:t>
            </w:r>
          </w:p>
        </w:tc>
        <w:tc>
          <w:tcPr>
            <w:tcW w:w="850" w:type="dxa"/>
            <w:tcBorders>
              <w:top w:val="single" w:color="auto" w:sz="4" w:space="0"/>
              <w:left w:val="single" w:color="auto" w:sz="4" w:space="0"/>
              <w:bottom w:val="single" w:color="auto" w:sz="4" w:space="0"/>
              <w:right w:val="single" w:color="auto" w:sz="4" w:space="0"/>
            </w:tcBorders>
            <w:vAlign w:val="center"/>
          </w:tcPr>
          <w:p w14:paraId="4E7E62A0">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23.5</w:t>
            </w:r>
          </w:p>
        </w:tc>
        <w:tc>
          <w:tcPr>
            <w:tcW w:w="851" w:type="dxa"/>
            <w:tcBorders>
              <w:top w:val="single" w:color="auto" w:sz="4" w:space="0"/>
              <w:left w:val="single" w:color="auto" w:sz="4" w:space="0"/>
              <w:bottom w:val="single" w:color="auto" w:sz="4" w:space="0"/>
              <w:right w:val="single" w:color="auto" w:sz="4" w:space="0"/>
            </w:tcBorders>
            <w:vAlign w:val="center"/>
          </w:tcPr>
          <w:p w14:paraId="4E7E62A1">
            <w:pPr>
              <w:tabs>
                <w:tab w:val="left" w:pos="2410"/>
              </w:tabs>
              <w:spacing w:line="360" w:lineRule="auto"/>
              <w:jc w:val="center"/>
              <w:rPr>
                <w:bCs/>
                <w:color w:val="auto"/>
                <w:highlight w:val="none"/>
              </w:rPr>
            </w:pPr>
            <w:r>
              <w:rPr>
                <w:rFonts w:hint="eastAsia" w:ascii="宋体" w:hAnsi="宋体" w:cs="宋体"/>
                <w:bCs/>
                <w:color w:val="auto"/>
                <w:szCs w:val="21"/>
                <w:highlight w:val="none"/>
                <w:lang w:bidi="ar"/>
              </w:rPr>
              <w:t>26</w:t>
            </w:r>
          </w:p>
        </w:tc>
        <w:tc>
          <w:tcPr>
            <w:tcW w:w="850" w:type="dxa"/>
            <w:tcBorders>
              <w:top w:val="single" w:color="auto" w:sz="4" w:space="0"/>
              <w:left w:val="single" w:color="auto" w:sz="4" w:space="0"/>
              <w:bottom w:val="single" w:color="auto" w:sz="4" w:space="0"/>
              <w:right w:val="single" w:color="auto" w:sz="4" w:space="0"/>
            </w:tcBorders>
            <w:vAlign w:val="center"/>
          </w:tcPr>
          <w:p w14:paraId="4E7E62A2">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21</w:t>
            </w:r>
          </w:p>
        </w:tc>
        <w:tc>
          <w:tcPr>
            <w:tcW w:w="850" w:type="dxa"/>
            <w:tcBorders>
              <w:top w:val="single" w:color="auto" w:sz="4" w:space="0"/>
              <w:left w:val="single" w:color="auto" w:sz="4" w:space="0"/>
              <w:bottom w:val="single" w:color="auto" w:sz="4" w:space="0"/>
              <w:right w:val="single" w:color="auto" w:sz="4" w:space="0"/>
            </w:tcBorders>
            <w:vAlign w:val="center"/>
          </w:tcPr>
          <w:p w14:paraId="4E7E62A3">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1" w:type="dxa"/>
            <w:tcBorders>
              <w:top w:val="single" w:color="auto" w:sz="4" w:space="0"/>
              <w:left w:val="single" w:color="auto" w:sz="4" w:space="0"/>
              <w:bottom w:val="single" w:color="auto" w:sz="4" w:space="0"/>
              <w:right w:val="single" w:color="auto" w:sz="4" w:space="0"/>
            </w:tcBorders>
            <w:vAlign w:val="center"/>
          </w:tcPr>
          <w:p w14:paraId="4E7E62A4">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32.5</w:t>
            </w:r>
          </w:p>
        </w:tc>
      </w:tr>
      <w:tr w14:paraId="4E7E62AF">
        <w:tblPrEx>
          <w:tblCellMar>
            <w:top w:w="0" w:type="dxa"/>
            <w:left w:w="108" w:type="dxa"/>
            <w:bottom w:w="0" w:type="dxa"/>
            <w:right w:w="108" w:type="dxa"/>
          </w:tblCellMar>
        </w:tblPrEx>
        <w:trPr>
          <w:trHeight w:val="517" w:hRule="atLeast"/>
        </w:trPr>
        <w:tc>
          <w:tcPr>
            <w:tcW w:w="477" w:type="dxa"/>
            <w:vMerge w:val="continue"/>
            <w:tcBorders>
              <w:left w:val="single" w:color="auto" w:sz="4" w:space="0"/>
              <w:right w:val="single" w:color="auto" w:sz="4" w:space="0"/>
            </w:tcBorders>
            <w:vAlign w:val="center"/>
          </w:tcPr>
          <w:p w14:paraId="4E7E62A6">
            <w:pPr>
              <w:tabs>
                <w:tab w:val="left" w:pos="2410"/>
              </w:tabs>
              <w:spacing w:line="360" w:lineRule="auto"/>
              <w:jc w:val="center"/>
              <w:rPr>
                <w:rFonts w:ascii="宋体" w:hAnsi="宋体" w:cs="宋体"/>
                <w:bCs/>
                <w:color w:val="auto"/>
                <w:szCs w:val="21"/>
                <w:highlight w:val="none"/>
                <w:lang w:bidi="ar"/>
              </w:rPr>
            </w:pPr>
          </w:p>
        </w:tc>
        <w:tc>
          <w:tcPr>
            <w:tcW w:w="1470" w:type="dxa"/>
            <w:vMerge w:val="continue"/>
            <w:tcBorders>
              <w:left w:val="single" w:color="auto" w:sz="4" w:space="0"/>
              <w:right w:val="single" w:color="auto" w:sz="4" w:space="0"/>
            </w:tcBorders>
            <w:vAlign w:val="center"/>
          </w:tcPr>
          <w:p w14:paraId="4E7E62A7">
            <w:pPr>
              <w:tabs>
                <w:tab w:val="left" w:pos="2410"/>
              </w:tabs>
              <w:spacing w:line="360" w:lineRule="auto"/>
              <w:jc w:val="center"/>
              <w:rPr>
                <w:rFonts w:ascii="宋体" w:cs="宋体"/>
                <w:bCs/>
                <w:color w:val="auto"/>
                <w:sz w:val="24"/>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4E7E62A8">
            <w:pPr>
              <w:tabs>
                <w:tab w:val="left" w:pos="2410"/>
              </w:tabs>
              <w:spacing w:line="360" w:lineRule="auto"/>
              <w:jc w:val="center"/>
              <w:rPr>
                <w:rFonts w:ascii="宋体" w:cs="宋体"/>
                <w:bCs/>
                <w:color w:val="auto"/>
                <w:sz w:val="24"/>
                <w:highlight w:val="none"/>
              </w:rPr>
            </w:pPr>
            <w:r>
              <w:rPr>
                <w:rFonts w:hint="eastAsia" w:ascii="宋体" w:cs="宋体"/>
                <w:bCs/>
                <w:color w:val="auto"/>
                <w:sz w:val="24"/>
                <w:highlight w:val="none"/>
              </w:rPr>
              <w:t>人工费</w:t>
            </w:r>
          </w:p>
        </w:tc>
        <w:tc>
          <w:tcPr>
            <w:tcW w:w="824" w:type="dxa"/>
            <w:tcBorders>
              <w:top w:val="single" w:color="auto" w:sz="4" w:space="0"/>
              <w:left w:val="single" w:color="auto" w:sz="4" w:space="0"/>
              <w:bottom w:val="single" w:color="auto" w:sz="4" w:space="0"/>
              <w:right w:val="single" w:color="auto" w:sz="4" w:space="0"/>
            </w:tcBorders>
            <w:vAlign w:val="center"/>
          </w:tcPr>
          <w:p w14:paraId="4E7E62A9">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2AA">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1" w:type="dxa"/>
            <w:tcBorders>
              <w:top w:val="single" w:color="auto" w:sz="4" w:space="0"/>
              <w:left w:val="single" w:color="auto" w:sz="4" w:space="0"/>
              <w:bottom w:val="single" w:color="auto" w:sz="4" w:space="0"/>
              <w:right w:val="single" w:color="auto" w:sz="4" w:space="0"/>
            </w:tcBorders>
            <w:vAlign w:val="center"/>
          </w:tcPr>
          <w:p w14:paraId="4E7E62AB">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2AC">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2AD">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42</w:t>
            </w:r>
          </w:p>
        </w:tc>
        <w:tc>
          <w:tcPr>
            <w:tcW w:w="851" w:type="dxa"/>
            <w:tcBorders>
              <w:top w:val="single" w:color="auto" w:sz="4" w:space="0"/>
              <w:left w:val="single" w:color="auto" w:sz="4" w:space="0"/>
              <w:bottom w:val="single" w:color="auto" w:sz="4" w:space="0"/>
              <w:right w:val="single" w:color="auto" w:sz="4" w:space="0"/>
            </w:tcBorders>
            <w:vAlign w:val="center"/>
          </w:tcPr>
          <w:p w14:paraId="4E7E62AE">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r>
      <w:tr w14:paraId="4E7E62B9">
        <w:tblPrEx>
          <w:tblCellMar>
            <w:top w:w="0" w:type="dxa"/>
            <w:left w:w="108" w:type="dxa"/>
            <w:bottom w:w="0" w:type="dxa"/>
            <w:right w:w="108" w:type="dxa"/>
          </w:tblCellMar>
        </w:tblPrEx>
        <w:trPr>
          <w:trHeight w:val="517" w:hRule="atLeast"/>
        </w:trPr>
        <w:tc>
          <w:tcPr>
            <w:tcW w:w="477" w:type="dxa"/>
            <w:vMerge w:val="restart"/>
            <w:tcBorders>
              <w:top w:val="single" w:color="auto" w:sz="4" w:space="0"/>
              <w:left w:val="single" w:color="auto" w:sz="4" w:space="0"/>
              <w:right w:val="single" w:color="auto" w:sz="4" w:space="0"/>
            </w:tcBorders>
            <w:vAlign w:val="center"/>
          </w:tcPr>
          <w:p w14:paraId="4E7E62B0">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w:t>
            </w:r>
          </w:p>
        </w:tc>
        <w:tc>
          <w:tcPr>
            <w:tcW w:w="1470" w:type="dxa"/>
            <w:vMerge w:val="restart"/>
            <w:tcBorders>
              <w:top w:val="single" w:color="auto" w:sz="4" w:space="0"/>
              <w:left w:val="single" w:color="auto" w:sz="4" w:space="0"/>
              <w:right w:val="single" w:color="auto" w:sz="4" w:space="0"/>
            </w:tcBorders>
            <w:vAlign w:val="center"/>
          </w:tcPr>
          <w:p w14:paraId="4E7E62B1">
            <w:pPr>
              <w:tabs>
                <w:tab w:val="left" w:pos="2410"/>
              </w:tabs>
              <w:spacing w:line="360" w:lineRule="auto"/>
              <w:jc w:val="center"/>
              <w:rPr>
                <w:rFonts w:ascii="宋体" w:cs="宋体"/>
                <w:bCs/>
                <w:color w:val="auto"/>
                <w:sz w:val="24"/>
                <w:highlight w:val="none"/>
              </w:rPr>
            </w:pPr>
            <w:r>
              <w:rPr>
                <w:rFonts w:hint="eastAsia" w:ascii="宋体" w:cs="宋体"/>
                <w:bCs/>
                <w:color w:val="auto"/>
                <w:sz w:val="24"/>
                <w:highlight w:val="none"/>
              </w:rPr>
              <w:t>利润</w:t>
            </w:r>
          </w:p>
        </w:tc>
        <w:tc>
          <w:tcPr>
            <w:tcW w:w="2410" w:type="dxa"/>
            <w:tcBorders>
              <w:top w:val="single" w:color="auto" w:sz="4" w:space="0"/>
              <w:left w:val="single" w:color="auto" w:sz="4" w:space="0"/>
              <w:bottom w:val="single" w:color="auto" w:sz="4" w:space="0"/>
              <w:right w:val="single" w:color="auto" w:sz="4" w:space="0"/>
            </w:tcBorders>
            <w:vAlign w:val="center"/>
          </w:tcPr>
          <w:p w14:paraId="4E7E62B2">
            <w:pPr>
              <w:tabs>
                <w:tab w:val="left" w:pos="2410"/>
              </w:tabs>
              <w:spacing w:line="360" w:lineRule="auto"/>
              <w:jc w:val="center"/>
              <w:rPr>
                <w:rFonts w:ascii="宋体" w:cs="宋体"/>
                <w:bCs/>
                <w:color w:val="auto"/>
                <w:sz w:val="24"/>
                <w:highlight w:val="none"/>
              </w:rPr>
            </w:pPr>
            <w:r>
              <w:rPr>
                <w:rFonts w:hint="eastAsia" w:ascii="宋体" w:cs="宋体"/>
                <w:bCs/>
                <w:color w:val="auto"/>
                <w:sz w:val="24"/>
                <w:highlight w:val="none"/>
              </w:rPr>
              <w:t>人工费+机械费</w:t>
            </w:r>
          </w:p>
        </w:tc>
        <w:tc>
          <w:tcPr>
            <w:tcW w:w="824" w:type="dxa"/>
            <w:tcBorders>
              <w:top w:val="single" w:color="auto" w:sz="4" w:space="0"/>
              <w:left w:val="single" w:color="auto" w:sz="4" w:space="0"/>
              <w:bottom w:val="single" w:color="auto" w:sz="4" w:space="0"/>
              <w:right w:val="single" w:color="auto" w:sz="4" w:space="0"/>
            </w:tcBorders>
            <w:vAlign w:val="center"/>
          </w:tcPr>
          <w:p w14:paraId="4E7E62B3">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11</w:t>
            </w:r>
          </w:p>
        </w:tc>
        <w:tc>
          <w:tcPr>
            <w:tcW w:w="850" w:type="dxa"/>
            <w:tcBorders>
              <w:top w:val="single" w:color="auto" w:sz="4" w:space="0"/>
              <w:left w:val="single" w:color="auto" w:sz="4" w:space="0"/>
              <w:bottom w:val="single" w:color="auto" w:sz="4" w:space="0"/>
              <w:right w:val="single" w:color="auto" w:sz="4" w:space="0"/>
            </w:tcBorders>
            <w:vAlign w:val="center"/>
          </w:tcPr>
          <w:p w14:paraId="4E7E62B4">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11</w:t>
            </w:r>
          </w:p>
        </w:tc>
        <w:tc>
          <w:tcPr>
            <w:tcW w:w="851" w:type="dxa"/>
            <w:tcBorders>
              <w:top w:val="single" w:color="auto" w:sz="4" w:space="0"/>
              <w:left w:val="single" w:color="auto" w:sz="4" w:space="0"/>
              <w:bottom w:val="single" w:color="auto" w:sz="4" w:space="0"/>
              <w:right w:val="single" w:color="auto" w:sz="4" w:space="0"/>
            </w:tcBorders>
            <w:vAlign w:val="center"/>
          </w:tcPr>
          <w:p w14:paraId="4E7E62B5">
            <w:pPr>
              <w:tabs>
                <w:tab w:val="left" w:pos="2410"/>
              </w:tabs>
              <w:spacing w:line="360" w:lineRule="auto"/>
              <w:jc w:val="center"/>
              <w:rPr>
                <w:bCs/>
                <w:color w:val="auto"/>
                <w:highlight w:val="none"/>
              </w:rPr>
            </w:pPr>
            <w:r>
              <w:rPr>
                <w:rFonts w:hint="eastAsia" w:ascii="宋体" w:hAnsi="宋体" w:cs="宋体"/>
                <w:bCs/>
                <w:color w:val="auto"/>
                <w:szCs w:val="21"/>
                <w:highlight w:val="none"/>
                <w:lang w:bidi="ar"/>
              </w:rPr>
              <w:t>11</w:t>
            </w:r>
          </w:p>
        </w:tc>
        <w:tc>
          <w:tcPr>
            <w:tcW w:w="850" w:type="dxa"/>
            <w:tcBorders>
              <w:top w:val="single" w:color="auto" w:sz="4" w:space="0"/>
              <w:left w:val="single" w:color="auto" w:sz="4" w:space="0"/>
              <w:bottom w:val="single" w:color="auto" w:sz="4" w:space="0"/>
              <w:right w:val="single" w:color="auto" w:sz="4" w:space="0"/>
            </w:tcBorders>
            <w:vAlign w:val="center"/>
          </w:tcPr>
          <w:p w14:paraId="4E7E62B6">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0" w:type="dxa"/>
            <w:tcBorders>
              <w:top w:val="single" w:color="auto" w:sz="4" w:space="0"/>
              <w:left w:val="single" w:color="auto" w:sz="4" w:space="0"/>
              <w:bottom w:val="single" w:color="auto" w:sz="4" w:space="0"/>
              <w:right w:val="single" w:color="auto" w:sz="4" w:space="0"/>
            </w:tcBorders>
            <w:vAlign w:val="center"/>
          </w:tcPr>
          <w:p w14:paraId="4E7E62B7">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1" w:type="dxa"/>
            <w:tcBorders>
              <w:top w:val="single" w:color="auto" w:sz="4" w:space="0"/>
              <w:left w:val="single" w:color="auto" w:sz="4" w:space="0"/>
              <w:bottom w:val="single" w:color="auto" w:sz="4" w:space="0"/>
              <w:right w:val="single" w:color="auto" w:sz="4" w:space="0"/>
            </w:tcBorders>
            <w:vAlign w:val="center"/>
          </w:tcPr>
          <w:p w14:paraId="4E7E62B8">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11</w:t>
            </w:r>
          </w:p>
        </w:tc>
      </w:tr>
      <w:tr w14:paraId="4E7E62C3">
        <w:tblPrEx>
          <w:tblCellMar>
            <w:top w:w="0" w:type="dxa"/>
            <w:left w:w="108" w:type="dxa"/>
            <w:bottom w:w="0" w:type="dxa"/>
            <w:right w:w="108" w:type="dxa"/>
          </w:tblCellMar>
        </w:tblPrEx>
        <w:trPr>
          <w:trHeight w:val="517" w:hRule="atLeast"/>
        </w:trPr>
        <w:tc>
          <w:tcPr>
            <w:tcW w:w="477" w:type="dxa"/>
            <w:vMerge w:val="continue"/>
            <w:tcBorders>
              <w:left w:val="single" w:color="auto" w:sz="4" w:space="0"/>
              <w:bottom w:val="single" w:color="auto" w:sz="4" w:space="0"/>
              <w:right w:val="single" w:color="auto" w:sz="4" w:space="0"/>
            </w:tcBorders>
            <w:vAlign w:val="center"/>
          </w:tcPr>
          <w:p w14:paraId="4E7E62BA">
            <w:pPr>
              <w:tabs>
                <w:tab w:val="left" w:pos="2410"/>
              </w:tabs>
              <w:spacing w:line="360" w:lineRule="auto"/>
              <w:jc w:val="center"/>
              <w:rPr>
                <w:rFonts w:ascii="宋体" w:hAnsi="宋体" w:cs="宋体"/>
                <w:bCs/>
                <w:color w:val="auto"/>
                <w:szCs w:val="21"/>
                <w:highlight w:val="none"/>
                <w:lang w:bidi="ar"/>
              </w:rPr>
            </w:pPr>
          </w:p>
        </w:tc>
        <w:tc>
          <w:tcPr>
            <w:tcW w:w="1470" w:type="dxa"/>
            <w:vMerge w:val="continue"/>
            <w:tcBorders>
              <w:left w:val="single" w:color="auto" w:sz="4" w:space="0"/>
              <w:bottom w:val="single" w:color="auto" w:sz="4" w:space="0"/>
              <w:right w:val="single" w:color="auto" w:sz="4" w:space="0"/>
            </w:tcBorders>
            <w:vAlign w:val="center"/>
          </w:tcPr>
          <w:p w14:paraId="4E7E62BB">
            <w:pPr>
              <w:tabs>
                <w:tab w:val="left" w:pos="2410"/>
              </w:tabs>
              <w:spacing w:line="360" w:lineRule="auto"/>
              <w:jc w:val="center"/>
              <w:rPr>
                <w:rFonts w:ascii="宋体" w:cs="宋体"/>
                <w:bCs/>
                <w:color w:val="auto"/>
                <w:sz w:val="24"/>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4E7E62BC">
            <w:pPr>
              <w:tabs>
                <w:tab w:val="left" w:pos="2410"/>
              </w:tabs>
              <w:spacing w:line="360" w:lineRule="auto"/>
              <w:jc w:val="center"/>
              <w:rPr>
                <w:rFonts w:ascii="宋体" w:cs="宋体"/>
                <w:bCs/>
                <w:color w:val="auto"/>
                <w:sz w:val="24"/>
                <w:highlight w:val="none"/>
              </w:rPr>
            </w:pPr>
            <w:r>
              <w:rPr>
                <w:rFonts w:hint="eastAsia" w:ascii="宋体" w:cs="宋体"/>
                <w:bCs/>
                <w:color w:val="auto"/>
                <w:sz w:val="24"/>
                <w:highlight w:val="none"/>
              </w:rPr>
              <w:t>人工费</w:t>
            </w:r>
          </w:p>
        </w:tc>
        <w:tc>
          <w:tcPr>
            <w:tcW w:w="824" w:type="dxa"/>
            <w:tcBorders>
              <w:top w:val="single" w:color="auto" w:sz="4" w:space="0"/>
              <w:left w:val="single" w:color="auto" w:sz="4" w:space="0"/>
              <w:bottom w:val="single" w:color="auto" w:sz="4" w:space="0"/>
              <w:right w:val="single" w:color="auto" w:sz="4" w:space="0"/>
            </w:tcBorders>
            <w:vAlign w:val="center"/>
          </w:tcPr>
          <w:p w14:paraId="4E7E62BD">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2BE">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1" w:type="dxa"/>
            <w:tcBorders>
              <w:top w:val="single" w:color="auto" w:sz="4" w:space="0"/>
              <w:left w:val="single" w:color="auto" w:sz="4" w:space="0"/>
              <w:bottom w:val="single" w:color="auto" w:sz="4" w:space="0"/>
              <w:right w:val="single" w:color="auto" w:sz="4" w:space="0"/>
            </w:tcBorders>
            <w:vAlign w:val="center"/>
          </w:tcPr>
          <w:p w14:paraId="4E7E62BF">
            <w:pPr>
              <w:tabs>
                <w:tab w:val="left" w:pos="2410"/>
              </w:tabs>
              <w:spacing w:line="360" w:lineRule="auto"/>
              <w:jc w:val="center"/>
              <w:rPr>
                <w:bCs/>
                <w:color w:val="auto"/>
                <w:highlight w:val="none"/>
              </w:rPr>
            </w:pPr>
            <w:r>
              <w:rPr>
                <w:rFonts w:hint="eastAsia"/>
                <w:bCs/>
                <w:color w:val="auto"/>
                <w:highlight w:val="none"/>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2C0">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c>
          <w:tcPr>
            <w:tcW w:w="850" w:type="dxa"/>
            <w:tcBorders>
              <w:top w:val="single" w:color="auto" w:sz="4" w:space="0"/>
              <w:left w:val="single" w:color="auto" w:sz="4" w:space="0"/>
              <w:bottom w:val="single" w:color="auto" w:sz="4" w:space="0"/>
              <w:right w:val="single" w:color="auto" w:sz="4" w:space="0"/>
            </w:tcBorders>
            <w:vAlign w:val="center"/>
          </w:tcPr>
          <w:p w14:paraId="4E7E62C1">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13</w:t>
            </w:r>
          </w:p>
        </w:tc>
        <w:tc>
          <w:tcPr>
            <w:tcW w:w="851" w:type="dxa"/>
            <w:tcBorders>
              <w:top w:val="single" w:color="auto" w:sz="4" w:space="0"/>
              <w:left w:val="single" w:color="auto" w:sz="4" w:space="0"/>
              <w:bottom w:val="single" w:color="auto" w:sz="4" w:space="0"/>
              <w:right w:val="single" w:color="auto" w:sz="4" w:space="0"/>
            </w:tcBorders>
            <w:vAlign w:val="center"/>
          </w:tcPr>
          <w:p w14:paraId="4E7E62C2">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w:t>
            </w:r>
          </w:p>
        </w:tc>
      </w:tr>
      <w:tr w14:paraId="4E7E62CD">
        <w:tblPrEx>
          <w:tblCellMar>
            <w:top w:w="0" w:type="dxa"/>
            <w:left w:w="108" w:type="dxa"/>
            <w:bottom w:w="0" w:type="dxa"/>
            <w:right w:w="108" w:type="dxa"/>
          </w:tblCellMar>
        </w:tblPrEx>
        <w:trPr>
          <w:trHeight w:val="517"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2C4">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w:t>
            </w:r>
          </w:p>
        </w:tc>
        <w:tc>
          <w:tcPr>
            <w:tcW w:w="1470" w:type="dxa"/>
            <w:tcBorders>
              <w:top w:val="single" w:color="auto" w:sz="4" w:space="0"/>
              <w:left w:val="single" w:color="auto" w:sz="4" w:space="0"/>
              <w:bottom w:val="single" w:color="auto" w:sz="4" w:space="0"/>
              <w:right w:val="single" w:color="auto" w:sz="4" w:space="0"/>
            </w:tcBorders>
            <w:vAlign w:val="center"/>
          </w:tcPr>
          <w:p w14:paraId="4E7E62C5">
            <w:pPr>
              <w:tabs>
                <w:tab w:val="left" w:pos="2410"/>
              </w:tabs>
              <w:spacing w:line="360" w:lineRule="auto"/>
              <w:jc w:val="center"/>
              <w:rPr>
                <w:rFonts w:ascii="宋体" w:hAnsi="宋体" w:cs="宋体"/>
                <w:bCs/>
                <w:color w:val="auto"/>
                <w:szCs w:val="21"/>
                <w:highlight w:val="none"/>
                <w:lang w:bidi="ar"/>
              </w:rPr>
            </w:pPr>
            <w:r>
              <w:rPr>
                <w:rFonts w:hint="eastAsia" w:ascii="宋体" w:cs="宋体"/>
                <w:bCs/>
                <w:color w:val="auto"/>
                <w:sz w:val="24"/>
                <w:highlight w:val="none"/>
              </w:rPr>
              <w:t>安全生产措施费费率</w:t>
            </w:r>
          </w:p>
        </w:tc>
        <w:tc>
          <w:tcPr>
            <w:tcW w:w="2410" w:type="dxa"/>
            <w:tcBorders>
              <w:top w:val="single" w:color="auto" w:sz="4" w:space="0"/>
              <w:left w:val="single" w:color="auto" w:sz="4" w:space="0"/>
              <w:bottom w:val="single" w:color="auto" w:sz="4" w:space="0"/>
              <w:right w:val="single" w:color="auto" w:sz="4" w:space="0"/>
            </w:tcBorders>
            <w:vAlign w:val="center"/>
          </w:tcPr>
          <w:p w14:paraId="4E7E62C6">
            <w:pPr>
              <w:tabs>
                <w:tab w:val="left" w:pos="2410"/>
              </w:tabs>
              <w:spacing w:line="360" w:lineRule="auto"/>
              <w:jc w:val="center"/>
              <w:rPr>
                <w:rFonts w:ascii="宋体" w:hAnsi="宋体" w:cs="宋体"/>
                <w:bCs/>
                <w:color w:val="auto"/>
                <w:szCs w:val="21"/>
                <w:highlight w:val="none"/>
                <w:lang w:bidi="ar"/>
              </w:rPr>
            </w:pPr>
            <w:r>
              <w:rPr>
                <w:rFonts w:hint="eastAsia" w:ascii="宋体" w:cs="宋体"/>
                <w:bCs/>
                <w:color w:val="auto"/>
                <w:sz w:val="24"/>
                <w:highlight w:val="none"/>
              </w:rPr>
              <w:t>分部分项工程费-除税工程设备费</w:t>
            </w:r>
          </w:p>
        </w:tc>
        <w:tc>
          <w:tcPr>
            <w:tcW w:w="824" w:type="dxa"/>
            <w:tcBorders>
              <w:top w:val="single" w:color="auto" w:sz="4" w:space="0"/>
              <w:left w:val="single" w:color="auto" w:sz="4" w:space="0"/>
              <w:bottom w:val="single" w:color="auto" w:sz="4" w:space="0"/>
              <w:right w:val="single" w:color="auto" w:sz="4" w:space="0"/>
            </w:tcBorders>
            <w:vAlign w:val="center"/>
          </w:tcPr>
          <w:p w14:paraId="4E7E62C7">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3.8</w:t>
            </w:r>
          </w:p>
        </w:tc>
        <w:tc>
          <w:tcPr>
            <w:tcW w:w="850" w:type="dxa"/>
            <w:tcBorders>
              <w:top w:val="single" w:color="auto" w:sz="4" w:space="0"/>
              <w:left w:val="single" w:color="auto" w:sz="4" w:space="0"/>
              <w:bottom w:val="single" w:color="auto" w:sz="4" w:space="0"/>
              <w:right w:val="single" w:color="auto" w:sz="4" w:space="0"/>
            </w:tcBorders>
            <w:vAlign w:val="center"/>
          </w:tcPr>
          <w:p w14:paraId="4E7E62C8">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3.8</w:t>
            </w:r>
          </w:p>
        </w:tc>
        <w:tc>
          <w:tcPr>
            <w:tcW w:w="851" w:type="dxa"/>
            <w:tcBorders>
              <w:top w:val="single" w:color="auto" w:sz="4" w:space="0"/>
              <w:left w:val="single" w:color="auto" w:sz="4" w:space="0"/>
              <w:bottom w:val="single" w:color="auto" w:sz="4" w:space="0"/>
              <w:right w:val="single" w:color="auto" w:sz="4" w:space="0"/>
            </w:tcBorders>
            <w:vAlign w:val="center"/>
          </w:tcPr>
          <w:p w14:paraId="4E7E62C9">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3.8</w:t>
            </w:r>
          </w:p>
        </w:tc>
        <w:tc>
          <w:tcPr>
            <w:tcW w:w="850" w:type="dxa"/>
            <w:tcBorders>
              <w:top w:val="single" w:color="auto" w:sz="4" w:space="0"/>
              <w:left w:val="single" w:color="auto" w:sz="4" w:space="0"/>
              <w:bottom w:val="single" w:color="auto" w:sz="4" w:space="0"/>
              <w:right w:val="single" w:color="auto" w:sz="4" w:space="0"/>
            </w:tcBorders>
            <w:vAlign w:val="center"/>
          </w:tcPr>
          <w:p w14:paraId="4E7E62CA">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1.9</w:t>
            </w:r>
          </w:p>
        </w:tc>
        <w:tc>
          <w:tcPr>
            <w:tcW w:w="850" w:type="dxa"/>
            <w:tcBorders>
              <w:top w:val="single" w:color="auto" w:sz="4" w:space="0"/>
              <w:left w:val="single" w:color="auto" w:sz="4" w:space="0"/>
              <w:bottom w:val="single" w:color="auto" w:sz="4" w:space="0"/>
              <w:right w:val="single" w:color="auto" w:sz="4" w:space="0"/>
            </w:tcBorders>
            <w:vAlign w:val="center"/>
          </w:tcPr>
          <w:p w14:paraId="4E7E62CB">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2.9</w:t>
            </w:r>
          </w:p>
        </w:tc>
        <w:tc>
          <w:tcPr>
            <w:tcW w:w="851" w:type="dxa"/>
            <w:tcBorders>
              <w:top w:val="single" w:color="auto" w:sz="4" w:space="0"/>
              <w:left w:val="single" w:color="auto" w:sz="4" w:space="0"/>
              <w:bottom w:val="single" w:color="auto" w:sz="4" w:space="0"/>
              <w:right w:val="single" w:color="auto" w:sz="4" w:space="0"/>
            </w:tcBorders>
            <w:vAlign w:val="center"/>
          </w:tcPr>
          <w:p w14:paraId="4E7E62CC">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3.8</w:t>
            </w:r>
          </w:p>
        </w:tc>
      </w:tr>
      <w:tr w14:paraId="4E7E62D7">
        <w:tblPrEx>
          <w:tblCellMar>
            <w:top w:w="0" w:type="dxa"/>
            <w:left w:w="108" w:type="dxa"/>
            <w:bottom w:w="0" w:type="dxa"/>
            <w:right w:w="108" w:type="dxa"/>
          </w:tblCellMar>
        </w:tblPrEx>
        <w:trPr>
          <w:trHeight w:val="495"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2CE">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4</w:t>
            </w:r>
          </w:p>
        </w:tc>
        <w:tc>
          <w:tcPr>
            <w:tcW w:w="1470" w:type="dxa"/>
            <w:tcBorders>
              <w:top w:val="single" w:color="auto" w:sz="4" w:space="0"/>
              <w:left w:val="single" w:color="auto" w:sz="4" w:space="0"/>
              <w:bottom w:val="single" w:color="auto" w:sz="4" w:space="0"/>
              <w:right w:val="single" w:color="auto" w:sz="4" w:space="0"/>
            </w:tcBorders>
            <w:vAlign w:val="center"/>
          </w:tcPr>
          <w:p w14:paraId="4E7E62CF">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增值税税率</w:t>
            </w:r>
          </w:p>
        </w:tc>
        <w:tc>
          <w:tcPr>
            <w:tcW w:w="2410" w:type="dxa"/>
            <w:tcBorders>
              <w:top w:val="single" w:color="auto" w:sz="4" w:space="0"/>
              <w:left w:val="single" w:color="auto" w:sz="4" w:space="0"/>
              <w:bottom w:val="single" w:color="auto" w:sz="4" w:space="0"/>
              <w:right w:val="single" w:color="auto" w:sz="4" w:space="0"/>
            </w:tcBorders>
            <w:vAlign w:val="center"/>
          </w:tcPr>
          <w:p w14:paraId="4E7E62D0">
            <w:pPr>
              <w:tabs>
                <w:tab w:val="left" w:pos="2410"/>
              </w:tabs>
              <w:spacing w:line="360" w:lineRule="auto"/>
              <w:jc w:val="center"/>
              <w:rPr>
                <w:rFonts w:ascii="宋体" w:hAnsi="宋体" w:cs="宋体"/>
                <w:bCs/>
                <w:color w:val="auto"/>
                <w:szCs w:val="21"/>
                <w:highlight w:val="none"/>
                <w:lang w:bidi="ar"/>
              </w:rPr>
            </w:pPr>
            <w:r>
              <w:rPr>
                <w:rFonts w:hint="eastAsia" w:ascii="宋体" w:cs="宋体"/>
                <w:bCs/>
                <w:color w:val="auto"/>
                <w:sz w:val="24"/>
                <w:highlight w:val="none"/>
              </w:rPr>
              <w:t>分部分项工程费+措施项目费+其他项目费-除税甲供材料和甲供设备费-专业工程暂估价</w:t>
            </w:r>
          </w:p>
        </w:tc>
        <w:tc>
          <w:tcPr>
            <w:tcW w:w="824" w:type="dxa"/>
            <w:tcBorders>
              <w:top w:val="single" w:color="auto" w:sz="4" w:space="0"/>
              <w:left w:val="single" w:color="auto" w:sz="4" w:space="0"/>
              <w:bottom w:val="single" w:color="auto" w:sz="4" w:space="0"/>
              <w:right w:val="single" w:color="auto" w:sz="4" w:space="0"/>
            </w:tcBorders>
            <w:vAlign w:val="center"/>
          </w:tcPr>
          <w:p w14:paraId="4E7E62D1">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0" w:type="dxa"/>
            <w:tcBorders>
              <w:top w:val="single" w:color="auto" w:sz="4" w:space="0"/>
              <w:left w:val="single" w:color="auto" w:sz="4" w:space="0"/>
              <w:bottom w:val="single" w:color="auto" w:sz="4" w:space="0"/>
              <w:right w:val="single" w:color="auto" w:sz="4" w:space="0"/>
            </w:tcBorders>
            <w:vAlign w:val="center"/>
          </w:tcPr>
          <w:p w14:paraId="4E7E62D2">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1" w:type="dxa"/>
            <w:tcBorders>
              <w:top w:val="single" w:color="auto" w:sz="4" w:space="0"/>
              <w:left w:val="single" w:color="auto" w:sz="4" w:space="0"/>
              <w:bottom w:val="single" w:color="auto" w:sz="4" w:space="0"/>
              <w:right w:val="single" w:color="auto" w:sz="4" w:space="0"/>
            </w:tcBorders>
            <w:vAlign w:val="center"/>
          </w:tcPr>
          <w:p w14:paraId="4E7E62D3">
            <w:pPr>
              <w:tabs>
                <w:tab w:val="left" w:pos="2410"/>
              </w:tabs>
              <w:spacing w:line="360" w:lineRule="auto"/>
              <w:jc w:val="center"/>
              <w:rPr>
                <w:bCs/>
                <w:color w:val="auto"/>
                <w:highlight w:val="none"/>
              </w:rPr>
            </w:pPr>
            <w:r>
              <w:rPr>
                <w:rFonts w:hint="eastAsia"/>
                <w:bCs/>
                <w:color w:val="auto"/>
                <w:highlight w:val="none"/>
              </w:rPr>
              <w:t>9</w:t>
            </w:r>
          </w:p>
        </w:tc>
        <w:tc>
          <w:tcPr>
            <w:tcW w:w="850" w:type="dxa"/>
            <w:tcBorders>
              <w:top w:val="single" w:color="auto" w:sz="4" w:space="0"/>
              <w:left w:val="single" w:color="auto" w:sz="4" w:space="0"/>
              <w:bottom w:val="single" w:color="auto" w:sz="4" w:space="0"/>
              <w:right w:val="single" w:color="auto" w:sz="4" w:space="0"/>
            </w:tcBorders>
            <w:vAlign w:val="center"/>
          </w:tcPr>
          <w:p w14:paraId="4E7E62D4">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0" w:type="dxa"/>
            <w:tcBorders>
              <w:top w:val="single" w:color="auto" w:sz="4" w:space="0"/>
              <w:left w:val="single" w:color="auto" w:sz="4" w:space="0"/>
              <w:bottom w:val="single" w:color="auto" w:sz="4" w:space="0"/>
              <w:right w:val="single" w:color="auto" w:sz="4" w:space="0"/>
            </w:tcBorders>
            <w:vAlign w:val="center"/>
          </w:tcPr>
          <w:p w14:paraId="4E7E62D5">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c>
          <w:tcPr>
            <w:tcW w:w="851" w:type="dxa"/>
            <w:tcBorders>
              <w:top w:val="single" w:color="auto" w:sz="4" w:space="0"/>
              <w:left w:val="single" w:color="auto" w:sz="4" w:space="0"/>
              <w:bottom w:val="single" w:color="auto" w:sz="4" w:space="0"/>
              <w:right w:val="single" w:color="auto" w:sz="4" w:space="0"/>
            </w:tcBorders>
            <w:vAlign w:val="center"/>
          </w:tcPr>
          <w:p w14:paraId="4E7E62D6">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9</w:t>
            </w:r>
          </w:p>
        </w:tc>
      </w:tr>
      <w:tr w14:paraId="4E7E62E1">
        <w:tblPrEx>
          <w:tblCellMar>
            <w:top w:w="0" w:type="dxa"/>
            <w:left w:w="108" w:type="dxa"/>
            <w:bottom w:w="0" w:type="dxa"/>
            <w:right w:w="108" w:type="dxa"/>
          </w:tblCellMar>
        </w:tblPrEx>
        <w:trPr>
          <w:trHeight w:val="495"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2D8">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5</w:t>
            </w:r>
          </w:p>
        </w:tc>
        <w:tc>
          <w:tcPr>
            <w:tcW w:w="1470" w:type="dxa"/>
            <w:tcBorders>
              <w:top w:val="single" w:color="auto" w:sz="4" w:space="0"/>
              <w:left w:val="single" w:color="auto" w:sz="4" w:space="0"/>
              <w:bottom w:val="single" w:color="auto" w:sz="4" w:space="0"/>
              <w:right w:val="single" w:color="auto" w:sz="4" w:space="0"/>
            </w:tcBorders>
            <w:vAlign w:val="center"/>
          </w:tcPr>
          <w:p w14:paraId="4E7E62D9">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文明施工</w:t>
            </w:r>
          </w:p>
        </w:tc>
        <w:tc>
          <w:tcPr>
            <w:tcW w:w="2410" w:type="dxa"/>
            <w:tcBorders>
              <w:top w:val="single" w:color="auto" w:sz="4" w:space="0"/>
              <w:left w:val="single" w:color="auto" w:sz="4" w:space="0"/>
              <w:bottom w:val="single" w:color="auto" w:sz="4" w:space="0"/>
              <w:right w:val="single" w:color="auto" w:sz="4" w:space="0"/>
            </w:tcBorders>
            <w:vAlign w:val="center"/>
          </w:tcPr>
          <w:p w14:paraId="4E7E62DA">
            <w:pPr>
              <w:tabs>
                <w:tab w:val="left" w:pos="2410"/>
              </w:tabs>
              <w:spacing w:line="360" w:lineRule="auto"/>
              <w:jc w:val="center"/>
              <w:rPr>
                <w:rFonts w:ascii="宋体" w:cs="宋体"/>
                <w:bCs/>
                <w:color w:val="auto"/>
                <w:sz w:val="24"/>
                <w:highlight w:val="none"/>
              </w:rPr>
            </w:pPr>
            <w:r>
              <w:rPr>
                <w:rFonts w:hint="eastAsia" w:ascii="宋体" w:cs="宋体"/>
                <w:bCs/>
                <w:color w:val="auto"/>
                <w:sz w:val="24"/>
                <w:highlight w:val="none"/>
              </w:rPr>
              <w:t>分部分项工程费-除税工程设备费</w:t>
            </w:r>
          </w:p>
        </w:tc>
        <w:tc>
          <w:tcPr>
            <w:tcW w:w="824" w:type="dxa"/>
            <w:tcBorders>
              <w:top w:val="single" w:color="auto" w:sz="4" w:space="0"/>
              <w:left w:val="single" w:color="auto" w:sz="4" w:space="0"/>
              <w:bottom w:val="single" w:color="auto" w:sz="4" w:space="0"/>
              <w:right w:val="single" w:color="auto" w:sz="4" w:space="0"/>
            </w:tcBorders>
            <w:vAlign w:val="center"/>
          </w:tcPr>
          <w:p w14:paraId="4E7E62DB">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0.6</w:t>
            </w:r>
          </w:p>
        </w:tc>
        <w:tc>
          <w:tcPr>
            <w:tcW w:w="850" w:type="dxa"/>
            <w:tcBorders>
              <w:top w:val="single" w:color="auto" w:sz="4" w:space="0"/>
              <w:left w:val="single" w:color="auto" w:sz="4" w:space="0"/>
              <w:bottom w:val="single" w:color="auto" w:sz="4" w:space="0"/>
              <w:right w:val="single" w:color="auto" w:sz="4" w:space="0"/>
            </w:tcBorders>
            <w:vAlign w:val="center"/>
          </w:tcPr>
          <w:p w14:paraId="4E7E62DC">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0.6</w:t>
            </w:r>
          </w:p>
        </w:tc>
        <w:tc>
          <w:tcPr>
            <w:tcW w:w="851" w:type="dxa"/>
            <w:tcBorders>
              <w:top w:val="single" w:color="auto" w:sz="4" w:space="0"/>
              <w:left w:val="single" w:color="auto" w:sz="4" w:space="0"/>
              <w:bottom w:val="single" w:color="auto" w:sz="4" w:space="0"/>
              <w:right w:val="single" w:color="auto" w:sz="4" w:space="0"/>
            </w:tcBorders>
            <w:vAlign w:val="center"/>
          </w:tcPr>
          <w:p w14:paraId="4E7E62DD">
            <w:pPr>
              <w:tabs>
                <w:tab w:val="left" w:pos="2410"/>
              </w:tabs>
              <w:spacing w:line="360" w:lineRule="auto"/>
              <w:jc w:val="center"/>
              <w:rPr>
                <w:bCs/>
                <w:color w:val="auto"/>
                <w:highlight w:val="none"/>
              </w:rPr>
            </w:pPr>
            <w:r>
              <w:rPr>
                <w:rFonts w:hint="eastAsia"/>
                <w:bCs/>
                <w:color w:val="auto"/>
                <w:highlight w:val="none"/>
              </w:rPr>
              <w:t>0.6</w:t>
            </w:r>
          </w:p>
        </w:tc>
        <w:tc>
          <w:tcPr>
            <w:tcW w:w="850" w:type="dxa"/>
            <w:tcBorders>
              <w:top w:val="single" w:color="auto" w:sz="4" w:space="0"/>
              <w:left w:val="single" w:color="auto" w:sz="4" w:space="0"/>
              <w:bottom w:val="single" w:color="auto" w:sz="4" w:space="0"/>
              <w:right w:val="single" w:color="auto" w:sz="4" w:space="0"/>
            </w:tcBorders>
            <w:vAlign w:val="center"/>
          </w:tcPr>
          <w:p w14:paraId="4E7E62DE">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0.9</w:t>
            </w:r>
          </w:p>
        </w:tc>
        <w:tc>
          <w:tcPr>
            <w:tcW w:w="850" w:type="dxa"/>
            <w:tcBorders>
              <w:top w:val="single" w:color="auto" w:sz="4" w:space="0"/>
              <w:left w:val="single" w:color="auto" w:sz="4" w:space="0"/>
              <w:bottom w:val="single" w:color="auto" w:sz="4" w:space="0"/>
              <w:right w:val="single" w:color="auto" w:sz="4" w:space="0"/>
            </w:tcBorders>
            <w:vAlign w:val="center"/>
          </w:tcPr>
          <w:p w14:paraId="4E7E62DF">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0.5</w:t>
            </w:r>
          </w:p>
        </w:tc>
        <w:tc>
          <w:tcPr>
            <w:tcW w:w="851" w:type="dxa"/>
            <w:tcBorders>
              <w:top w:val="single" w:color="auto" w:sz="4" w:space="0"/>
              <w:left w:val="single" w:color="auto" w:sz="4" w:space="0"/>
              <w:bottom w:val="single" w:color="auto" w:sz="4" w:space="0"/>
              <w:right w:val="single" w:color="auto" w:sz="4" w:space="0"/>
            </w:tcBorders>
            <w:vAlign w:val="center"/>
          </w:tcPr>
          <w:p w14:paraId="4E7E62E0">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0.6</w:t>
            </w:r>
          </w:p>
        </w:tc>
      </w:tr>
      <w:tr w14:paraId="4E7E62EB">
        <w:tblPrEx>
          <w:tblCellMar>
            <w:top w:w="0" w:type="dxa"/>
            <w:left w:w="108" w:type="dxa"/>
            <w:bottom w:w="0" w:type="dxa"/>
            <w:right w:w="108" w:type="dxa"/>
          </w:tblCellMar>
        </w:tblPrEx>
        <w:trPr>
          <w:trHeight w:val="495" w:hRule="atLeast"/>
        </w:trPr>
        <w:tc>
          <w:tcPr>
            <w:tcW w:w="477" w:type="dxa"/>
            <w:tcBorders>
              <w:top w:val="single" w:color="auto" w:sz="4" w:space="0"/>
              <w:left w:val="single" w:color="auto" w:sz="4" w:space="0"/>
              <w:bottom w:val="single" w:color="auto" w:sz="4" w:space="0"/>
              <w:right w:val="single" w:color="auto" w:sz="4" w:space="0"/>
            </w:tcBorders>
            <w:vAlign w:val="center"/>
          </w:tcPr>
          <w:p w14:paraId="4E7E62E2">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6</w:t>
            </w:r>
          </w:p>
        </w:tc>
        <w:tc>
          <w:tcPr>
            <w:tcW w:w="1470" w:type="dxa"/>
            <w:tcBorders>
              <w:top w:val="single" w:color="auto" w:sz="4" w:space="0"/>
              <w:left w:val="single" w:color="auto" w:sz="4" w:space="0"/>
              <w:bottom w:val="single" w:color="auto" w:sz="4" w:space="0"/>
              <w:right w:val="single" w:color="auto" w:sz="4" w:space="0"/>
            </w:tcBorders>
            <w:vAlign w:val="center"/>
          </w:tcPr>
          <w:p w14:paraId="4E7E62E3">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环境保护</w:t>
            </w:r>
          </w:p>
        </w:tc>
        <w:tc>
          <w:tcPr>
            <w:tcW w:w="2410" w:type="dxa"/>
            <w:tcBorders>
              <w:top w:val="single" w:color="auto" w:sz="4" w:space="0"/>
              <w:left w:val="single" w:color="auto" w:sz="4" w:space="0"/>
              <w:bottom w:val="single" w:color="auto" w:sz="4" w:space="0"/>
              <w:right w:val="single" w:color="auto" w:sz="4" w:space="0"/>
            </w:tcBorders>
            <w:vAlign w:val="center"/>
          </w:tcPr>
          <w:p w14:paraId="4E7E62E4">
            <w:pPr>
              <w:tabs>
                <w:tab w:val="left" w:pos="2410"/>
              </w:tabs>
              <w:spacing w:line="360" w:lineRule="auto"/>
              <w:jc w:val="center"/>
              <w:rPr>
                <w:rFonts w:ascii="宋体" w:cs="宋体"/>
                <w:bCs/>
                <w:color w:val="auto"/>
                <w:sz w:val="24"/>
                <w:highlight w:val="none"/>
              </w:rPr>
            </w:pPr>
            <w:r>
              <w:rPr>
                <w:rFonts w:hint="eastAsia" w:ascii="宋体" w:cs="宋体"/>
                <w:bCs/>
                <w:color w:val="auto"/>
                <w:sz w:val="24"/>
                <w:highlight w:val="none"/>
              </w:rPr>
              <w:t>分部分项工程费-除税工程设备费</w:t>
            </w:r>
          </w:p>
        </w:tc>
        <w:tc>
          <w:tcPr>
            <w:tcW w:w="824" w:type="dxa"/>
            <w:tcBorders>
              <w:top w:val="single" w:color="auto" w:sz="4" w:space="0"/>
              <w:left w:val="single" w:color="auto" w:sz="4" w:space="0"/>
              <w:bottom w:val="single" w:color="auto" w:sz="4" w:space="0"/>
              <w:right w:val="single" w:color="auto" w:sz="4" w:space="0"/>
            </w:tcBorders>
            <w:vAlign w:val="center"/>
          </w:tcPr>
          <w:p w14:paraId="4E7E62E5">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0.3</w:t>
            </w:r>
          </w:p>
        </w:tc>
        <w:tc>
          <w:tcPr>
            <w:tcW w:w="850" w:type="dxa"/>
            <w:tcBorders>
              <w:top w:val="single" w:color="auto" w:sz="4" w:space="0"/>
              <w:left w:val="single" w:color="auto" w:sz="4" w:space="0"/>
              <w:bottom w:val="single" w:color="auto" w:sz="4" w:space="0"/>
              <w:right w:val="single" w:color="auto" w:sz="4" w:space="0"/>
            </w:tcBorders>
            <w:vAlign w:val="center"/>
          </w:tcPr>
          <w:p w14:paraId="4E7E62E6">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0.3</w:t>
            </w:r>
          </w:p>
        </w:tc>
        <w:tc>
          <w:tcPr>
            <w:tcW w:w="851" w:type="dxa"/>
            <w:tcBorders>
              <w:top w:val="single" w:color="auto" w:sz="4" w:space="0"/>
              <w:left w:val="single" w:color="auto" w:sz="4" w:space="0"/>
              <w:bottom w:val="single" w:color="auto" w:sz="4" w:space="0"/>
              <w:right w:val="single" w:color="auto" w:sz="4" w:space="0"/>
            </w:tcBorders>
            <w:vAlign w:val="center"/>
          </w:tcPr>
          <w:p w14:paraId="4E7E62E7">
            <w:pPr>
              <w:tabs>
                <w:tab w:val="left" w:pos="2410"/>
              </w:tabs>
              <w:spacing w:line="360" w:lineRule="auto"/>
              <w:jc w:val="center"/>
              <w:rPr>
                <w:bCs/>
                <w:color w:val="auto"/>
                <w:highlight w:val="none"/>
              </w:rPr>
            </w:pPr>
            <w:r>
              <w:rPr>
                <w:rFonts w:hint="eastAsia"/>
                <w:bCs/>
                <w:color w:val="auto"/>
                <w:highlight w:val="none"/>
              </w:rPr>
              <w:t>0.3</w:t>
            </w:r>
          </w:p>
        </w:tc>
        <w:tc>
          <w:tcPr>
            <w:tcW w:w="850" w:type="dxa"/>
            <w:tcBorders>
              <w:top w:val="single" w:color="auto" w:sz="4" w:space="0"/>
              <w:left w:val="single" w:color="auto" w:sz="4" w:space="0"/>
              <w:bottom w:val="single" w:color="auto" w:sz="4" w:space="0"/>
              <w:right w:val="single" w:color="auto" w:sz="4" w:space="0"/>
            </w:tcBorders>
            <w:vAlign w:val="center"/>
          </w:tcPr>
          <w:p w14:paraId="4E7E62E8">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1</w:t>
            </w:r>
          </w:p>
        </w:tc>
        <w:tc>
          <w:tcPr>
            <w:tcW w:w="850" w:type="dxa"/>
            <w:tcBorders>
              <w:top w:val="single" w:color="auto" w:sz="4" w:space="0"/>
              <w:left w:val="single" w:color="auto" w:sz="4" w:space="0"/>
              <w:bottom w:val="single" w:color="auto" w:sz="4" w:space="0"/>
              <w:right w:val="single" w:color="auto" w:sz="4" w:space="0"/>
            </w:tcBorders>
            <w:vAlign w:val="center"/>
          </w:tcPr>
          <w:p w14:paraId="4E7E62E9">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0.2</w:t>
            </w:r>
          </w:p>
        </w:tc>
        <w:tc>
          <w:tcPr>
            <w:tcW w:w="851" w:type="dxa"/>
            <w:tcBorders>
              <w:top w:val="single" w:color="auto" w:sz="4" w:space="0"/>
              <w:left w:val="single" w:color="auto" w:sz="4" w:space="0"/>
              <w:bottom w:val="single" w:color="auto" w:sz="4" w:space="0"/>
              <w:right w:val="single" w:color="auto" w:sz="4" w:space="0"/>
            </w:tcBorders>
            <w:vAlign w:val="center"/>
          </w:tcPr>
          <w:p w14:paraId="4E7E62EA">
            <w:pPr>
              <w:tabs>
                <w:tab w:val="left" w:pos="2410"/>
              </w:tabs>
              <w:spacing w:line="360" w:lineRule="auto"/>
              <w:jc w:val="center"/>
              <w:rPr>
                <w:rFonts w:ascii="宋体" w:hAnsi="宋体" w:cs="宋体"/>
                <w:bCs/>
                <w:color w:val="auto"/>
                <w:szCs w:val="21"/>
                <w:highlight w:val="none"/>
                <w:lang w:bidi="ar"/>
              </w:rPr>
            </w:pPr>
            <w:r>
              <w:rPr>
                <w:rFonts w:hint="eastAsia" w:ascii="宋体" w:hAnsi="宋体" w:cs="宋体"/>
                <w:bCs/>
                <w:color w:val="auto"/>
                <w:szCs w:val="21"/>
                <w:highlight w:val="none"/>
                <w:lang w:bidi="ar"/>
              </w:rPr>
              <w:t>0.3</w:t>
            </w:r>
          </w:p>
        </w:tc>
      </w:tr>
    </w:tbl>
    <w:p w14:paraId="4E7E62EC">
      <w:pPr>
        <w:autoSpaceDE w:val="0"/>
        <w:autoSpaceDN w:val="0"/>
        <w:adjustRightInd w:val="0"/>
        <w:spacing w:before="50" w:line="420" w:lineRule="exact"/>
        <w:ind w:firstLine="480" w:firstLineChars="200"/>
        <w:jc w:val="left"/>
        <w:rPr>
          <w:rFonts w:ascii="宋体" w:hAnsi="宋体"/>
          <w:bCs/>
          <w:color w:val="auto"/>
          <w:kern w:val="0"/>
          <w:sz w:val="24"/>
          <w:highlight w:val="none"/>
        </w:rPr>
      </w:pPr>
      <w:r>
        <w:rPr>
          <w:rFonts w:hint="eastAsia" w:ascii="宋体" w:hAnsi="宋体"/>
          <w:bCs/>
          <w:color w:val="auto"/>
          <w:kern w:val="0"/>
          <w:sz w:val="24"/>
          <w:highlight w:val="none"/>
        </w:rPr>
        <w:t>5、</w:t>
      </w:r>
      <w:r>
        <w:rPr>
          <w:rFonts w:hint="eastAsia" w:ascii="宋体" w:hAnsi="宋体" w:cs="宋体"/>
          <w:bCs/>
          <w:color w:val="auto"/>
          <w:sz w:val="24"/>
          <w:highlight w:val="none"/>
        </w:rPr>
        <w:t>单价措施项目费仅计取脚手架措施项目费、混凝土、钢筋混凝土模板及支架措施项目费、大型机械设备进出场及安拆费（根据招标人签证，并结合现场实际情况）、施工排水及排水措施费（根据甲方签证，并结合现场实际情况）。</w:t>
      </w:r>
    </w:p>
    <w:p w14:paraId="4E7E62ED">
      <w:pPr>
        <w:spacing w:line="56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6、</w:t>
      </w:r>
      <w:r>
        <w:rPr>
          <w:rFonts w:hint="eastAsia" w:ascii="宋体" w:hAnsi="宋体"/>
          <w:bCs/>
          <w:color w:val="auto"/>
          <w:sz w:val="24"/>
          <w:highlight w:val="none"/>
        </w:rPr>
        <w:t>分工序进行已完工程量的计量，完成工程量由甲方及监理现场签证并留有影像资料，并按实际完成的合格工程量计量支付，在工程实施过程中，乙方必须收集齐全所有隐蔽项目的施工全过程影像视频资料，随结算资料一并提交。所有签证资料必须附有详细影像彩色照片，所摄照片必须有可参照性。如隐蔽项目影像资料未能反映签证、清单及其他结算资料列明的工作内容，则结算时该项内容不予认可。</w:t>
      </w:r>
    </w:p>
    <w:p w14:paraId="4E7E62EE">
      <w:pPr>
        <w:spacing w:line="500" w:lineRule="exact"/>
        <w:ind w:firstLine="480" w:firstLineChars="200"/>
        <w:rPr>
          <w:rFonts w:ascii="宋体" w:hAnsi="宋体"/>
          <w:bCs/>
          <w:color w:val="auto"/>
          <w:sz w:val="24"/>
          <w:highlight w:val="none"/>
        </w:rPr>
      </w:pPr>
      <w:r>
        <w:rPr>
          <w:rFonts w:hint="eastAsia" w:ascii="宋体" w:hAnsi="宋体" w:cs="宋体"/>
          <w:bCs/>
          <w:color w:val="auto"/>
          <w:sz w:val="24"/>
          <w:highlight w:val="none"/>
        </w:rPr>
        <w:t>7、</w:t>
      </w:r>
      <w:r>
        <w:rPr>
          <w:rFonts w:hint="eastAsia" w:ascii="宋体" w:hAnsi="宋体"/>
          <w:bCs/>
          <w:color w:val="auto"/>
          <w:sz w:val="24"/>
          <w:highlight w:val="none"/>
        </w:rPr>
        <w:t>工程竣工验收合格后，乙方根据结算编制依据，编制工程结算送甲方指定造价机构进行结算审核，工程审定价按乙方中标下浮率下浮后作为最终审定价。</w:t>
      </w:r>
    </w:p>
    <w:p w14:paraId="4E7E62EF">
      <w:pPr>
        <w:spacing w:line="500" w:lineRule="exact"/>
        <w:ind w:firstLine="480" w:firstLineChars="200"/>
        <w:rPr>
          <w:rFonts w:ascii="宋体" w:hAnsi="宋体"/>
          <w:bCs/>
          <w:color w:val="auto"/>
          <w:sz w:val="24"/>
          <w:highlight w:val="none"/>
        </w:rPr>
      </w:pPr>
      <w:r>
        <w:rPr>
          <w:rFonts w:hint="eastAsia" w:ascii="宋体" w:hAnsi="宋体"/>
          <w:bCs/>
          <w:color w:val="auto"/>
          <w:sz w:val="24"/>
          <w:highlight w:val="none"/>
        </w:rPr>
        <w:t>8、乙方不得拒绝完成招标人在施工地点范围内变更或要求增加和减少的工程内容。</w:t>
      </w:r>
    </w:p>
    <w:p w14:paraId="4E7E62F0">
      <w:pPr>
        <w:spacing w:line="500" w:lineRule="exact"/>
        <w:ind w:firstLine="480" w:firstLineChars="200"/>
        <w:rPr>
          <w:rFonts w:ascii="宋体" w:hAnsi="宋体"/>
          <w:bCs/>
          <w:color w:val="auto"/>
          <w:sz w:val="24"/>
          <w:highlight w:val="none"/>
        </w:rPr>
      </w:pPr>
      <w:r>
        <w:rPr>
          <w:rFonts w:hint="eastAsia" w:ascii="宋体" w:hAnsi="宋体"/>
          <w:bCs/>
          <w:color w:val="auto"/>
          <w:sz w:val="24"/>
          <w:highlight w:val="none"/>
        </w:rPr>
        <w:t>9、</w:t>
      </w:r>
      <w:r>
        <w:rPr>
          <w:rFonts w:hint="eastAsia" w:ascii="宋体" w:hAnsi="宋体"/>
          <w:bCs/>
          <w:color w:val="auto"/>
          <w:kern w:val="0"/>
          <w:sz w:val="24"/>
          <w:highlight w:val="none"/>
        </w:rPr>
        <w:t>在施工过程中，如因乙方原因导致无法胜任本工程的施工，则除履约保证金不予退还外，结算时已完合格工程按60%计算，还应承担赔偿甲方损失的责任。</w:t>
      </w:r>
    </w:p>
    <w:p w14:paraId="4E7E62F1">
      <w:pPr>
        <w:spacing w:line="500" w:lineRule="exact"/>
        <w:ind w:firstLine="480" w:firstLineChars="200"/>
        <w:rPr>
          <w:rFonts w:ascii="宋体" w:hAnsi="宋体"/>
          <w:bCs/>
          <w:color w:val="auto"/>
          <w:kern w:val="0"/>
          <w:sz w:val="24"/>
          <w:highlight w:val="none"/>
        </w:rPr>
      </w:pPr>
      <w:r>
        <w:rPr>
          <w:rFonts w:hint="eastAsia" w:ascii="宋体" w:hAnsi="宋体"/>
          <w:bCs/>
          <w:color w:val="auto"/>
          <w:sz w:val="24"/>
          <w:highlight w:val="none"/>
        </w:rPr>
        <w:t>10、</w:t>
      </w:r>
      <w:r>
        <w:rPr>
          <w:rFonts w:hint="eastAsia" w:ascii="宋体" w:hAnsi="宋体"/>
          <w:bCs/>
          <w:color w:val="auto"/>
          <w:kern w:val="0"/>
          <w:sz w:val="24"/>
          <w:highlight w:val="none"/>
        </w:rPr>
        <w:t>如乙方在履行合同时，出现无法胜任施工内容、工程质量差、服务差等情况时，甲方有权终止合同，并不续签下一年度合同。</w:t>
      </w:r>
    </w:p>
    <w:p w14:paraId="4E7E62F2">
      <w:pPr>
        <w:autoSpaceDE w:val="0"/>
        <w:autoSpaceDN w:val="0"/>
        <w:adjustRightInd w:val="0"/>
        <w:spacing w:before="50" w:line="420" w:lineRule="exact"/>
        <w:ind w:firstLine="480" w:firstLineChars="200"/>
        <w:jc w:val="left"/>
        <w:rPr>
          <w:rFonts w:ascii="宋体" w:hAnsi="宋体"/>
          <w:bCs/>
          <w:color w:val="auto"/>
          <w:kern w:val="0"/>
          <w:sz w:val="24"/>
          <w:highlight w:val="none"/>
        </w:rPr>
      </w:pPr>
      <w:r>
        <w:rPr>
          <w:rFonts w:hint="eastAsia" w:ascii="宋体" w:hAnsi="宋体"/>
          <w:bCs/>
          <w:color w:val="auto"/>
          <w:sz w:val="24"/>
          <w:highlight w:val="none"/>
        </w:rPr>
        <w:t>11、</w:t>
      </w:r>
      <w:r>
        <w:rPr>
          <w:rFonts w:hint="eastAsia" w:ascii="宋体" w:hAnsi="宋体"/>
          <w:bCs/>
          <w:color w:val="auto"/>
          <w:kern w:val="0"/>
          <w:sz w:val="24"/>
          <w:highlight w:val="none"/>
        </w:rPr>
        <w:t>乙方施工过程中必须服从甲方的安排。</w:t>
      </w:r>
    </w:p>
    <w:p w14:paraId="4E7E62F3">
      <w:pPr>
        <w:autoSpaceDE w:val="0"/>
        <w:autoSpaceDN w:val="0"/>
        <w:adjustRightInd w:val="0"/>
        <w:spacing w:before="50" w:line="420" w:lineRule="exact"/>
        <w:ind w:firstLine="480" w:firstLineChars="200"/>
        <w:jc w:val="left"/>
        <w:rPr>
          <w:rFonts w:ascii="宋体" w:hAnsi="宋体"/>
          <w:bCs/>
          <w:color w:val="auto"/>
          <w:kern w:val="0"/>
          <w:sz w:val="24"/>
          <w:highlight w:val="none"/>
        </w:rPr>
      </w:pPr>
      <w:r>
        <w:rPr>
          <w:rFonts w:hint="eastAsia" w:ascii="宋体" w:hAnsi="宋体"/>
          <w:bCs/>
          <w:color w:val="auto"/>
          <w:kern w:val="0"/>
          <w:sz w:val="24"/>
          <w:highlight w:val="none"/>
        </w:rPr>
        <w:t>12、本工程因每个工程工期会比较紧迫，乙方须充分考虑工期并满足考核要求。</w:t>
      </w:r>
    </w:p>
    <w:p w14:paraId="4E7E62F4">
      <w:pPr>
        <w:spacing w:line="480" w:lineRule="exact"/>
        <w:ind w:firstLine="556"/>
        <w:rPr>
          <w:rFonts w:ascii="宋体" w:cs="宋体"/>
          <w:color w:val="auto"/>
          <w:kern w:val="0"/>
          <w:sz w:val="24"/>
          <w:highlight w:val="none"/>
        </w:rPr>
      </w:pPr>
      <w:r>
        <w:rPr>
          <w:rFonts w:hint="eastAsia" w:ascii="宋体" w:cs="宋体"/>
          <w:color w:val="auto"/>
          <w:kern w:val="0"/>
          <w:sz w:val="24"/>
          <w:highlight w:val="none"/>
        </w:rPr>
        <w:t>十、工程变更：</w:t>
      </w:r>
    </w:p>
    <w:p w14:paraId="4E7E62F5">
      <w:pPr>
        <w:spacing w:line="480" w:lineRule="exact"/>
        <w:ind w:firstLine="556"/>
        <w:rPr>
          <w:rFonts w:ascii="宋体" w:cs="宋体"/>
          <w:color w:val="auto"/>
          <w:kern w:val="0"/>
          <w:sz w:val="24"/>
          <w:highlight w:val="none"/>
        </w:rPr>
      </w:pPr>
      <w:r>
        <w:rPr>
          <w:rFonts w:hint="eastAsia" w:ascii="宋体" w:cs="宋体"/>
          <w:color w:val="auto"/>
          <w:kern w:val="0"/>
          <w:sz w:val="24"/>
          <w:highlight w:val="none"/>
        </w:rPr>
        <w:t>本工程项目发生变更，则必须有甲方出具的纸质变更通知方可实施，并且以甲方相关部门出具的签证单为工程量依据。</w:t>
      </w:r>
    </w:p>
    <w:p w14:paraId="4E7E62F6">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在施工过程当中如遇工程项目、工程量发生变更时，需有甲方基建管理部门出具的工程量变更通知单，方可实施改造，根据变更通知单内容填写工程量签证单，并以此为结算依据，其他任何个人及部门提出的变更通知，不予实施，否则发生的一切费用及其他责任由乙方自行承担。</w:t>
      </w:r>
    </w:p>
    <w:p w14:paraId="4E7E62F7">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十一、工程竣工验收条件：</w:t>
      </w:r>
    </w:p>
    <w:p w14:paraId="4E7E62F8">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1、完成招标文件及合同规定的所有施工内容；</w:t>
      </w:r>
    </w:p>
    <w:p w14:paraId="4E7E62F9">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2、所有过程验收及材料验收资料已齐备；</w:t>
      </w:r>
    </w:p>
    <w:p w14:paraId="4E7E62FA">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3、所有工程量变更单及工程量签证单已签署完毕；</w:t>
      </w:r>
    </w:p>
    <w:p w14:paraId="4E7E62FB">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4、已通过甲方对工程项目进行的初步验收；</w:t>
      </w:r>
      <w:r>
        <w:rPr>
          <w:rFonts w:ascii="宋体" w:cs="宋体"/>
          <w:color w:val="auto"/>
          <w:kern w:val="0"/>
          <w:sz w:val="24"/>
          <w:highlight w:val="none"/>
        </w:rPr>
        <w:t xml:space="preserve"> </w:t>
      </w:r>
    </w:p>
    <w:p w14:paraId="4E7E62FC">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5、已提交工程验收申请书。</w:t>
      </w:r>
    </w:p>
    <w:p w14:paraId="4E7E62FD">
      <w:pPr>
        <w:spacing w:line="480" w:lineRule="exact"/>
        <w:ind w:firstLine="555"/>
        <w:rPr>
          <w:rFonts w:ascii="宋体" w:cs="宋体"/>
          <w:color w:val="auto"/>
          <w:kern w:val="0"/>
          <w:sz w:val="24"/>
          <w:highlight w:val="none"/>
        </w:rPr>
      </w:pPr>
      <w:r>
        <w:rPr>
          <w:rFonts w:hint="eastAsia" w:ascii="宋体" w:cs="宋体"/>
          <w:color w:val="auto"/>
          <w:kern w:val="0"/>
          <w:sz w:val="24"/>
          <w:highlight w:val="none"/>
        </w:rPr>
        <w:t>十二、工程款结算方式：</w:t>
      </w:r>
    </w:p>
    <w:p w14:paraId="4E7E62FE">
      <w:pPr>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1、竣工结算的工程量按实际完成的合格工程量进行确定。甲乙双方在合同中约定，乙方完成非乙方责任事件的工程量按现场签证确定。</w:t>
      </w:r>
    </w:p>
    <w:p w14:paraId="4E7E62FF">
      <w:pPr>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工程变更签证要做到及时，最多不超过14天，逾期不予受理，一律作为乙方的让利处理。签证单一式三份，乙方、后勤部门、审计处各一份。</w:t>
      </w:r>
    </w:p>
    <w:p w14:paraId="4E7E6300">
      <w:pPr>
        <w:spacing w:line="480" w:lineRule="exact"/>
        <w:ind w:firstLine="480" w:firstLineChars="200"/>
        <w:rPr>
          <w:rFonts w:ascii="宋体" w:hAnsi="宋体" w:cs="宋体"/>
          <w:color w:val="auto"/>
          <w:kern w:val="0"/>
          <w:sz w:val="24"/>
          <w:highlight w:val="none"/>
        </w:rPr>
      </w:pPr>
      <w:r>
        <w:rPr>
          <w:rFonts w:hint="eastAsia" w:ascii="宋体" w:cs="宋体"/>
          <w:color w:val="auto"/>
          <w:kern w:val="0"/>
          <w:sz w:val="24"/>
          <w:highlight w:val="none"/>
        </w:rPr>
        <w:t>2、本工程的工程款由甲方与乙方直接结算，付款方式如下：三个月统一结算一次，已完单项工程竣工验收合格并提交结算材料后，结算审计结束付到最终审计价【最终审计价=审计价</w:t>
      </w:r>
      <w:r>
        <w:rPr>
          <w:rFonts w:hint="eastAsia" w:ascii="宋体" w:hAnsi="宋体" w:cs="宋体"/>
          <w:color w:val="auto"/>
          <w:kern w:val="0"/>
          <w:sz w:val="24"/>
          <w:highlight w:val="none"/>
        </w:rPr>
        <w:t>×（1-中标下浮率</w:t>
      </w:r>
      <w:r>
        <w:rPr>
          <w:rFonts w:hint="eastAsia" w:ascii="宋体" w:cs="宋体"/>
          <w:color w:val="auto"/>
          <w:kern w:val="0"/>
          <w:sz w:val="24"/>
          <w:highlight w:val="none"/>
          <w:u w:val="single"/>
        </w:rPr>
        <w:t xml:space="preserve">   </w:t>
      </w:r>
      <w:r>
        <w:rPr>
          <w:rFonts w:hint="eastAsia" w:ascii="宋体" w:cs="宋体"/>
          <w:color w:val="auto"/>
          <w:kern w:val="0"/>
          <w:sz w:val="24"/>
          <w:highlight w:val="none"/>
        </w:rPr>
        <w:t>%</w:t>
      </w:r>
      <w:r>
        <w:rPr>
          <w:rFonts w:hint="eastAsia" w:ascii="宋体" w:hAnsi="宋体" w:cs="宋体"/>
          <w:color w:val="auto"/>
          <w:kern w:val="0"/>
          <w:sz w:val="24"/>
          <w:highlight w:val="none"/>
        </w:rPr>
        <w:t>），下浮率为正数</w:t>
      </w:r>
      <w:r>
        <w:rPr>
          <w:rFonts w:hint="eastAsia" w:ascii="宋体" w:cs="宋体"/>
          <w:color w:val="auto"/>
          <w:kern w:val="0"/>
          <w:sz w:val="24"/>
          <w:highlight w:val="none"/>
        </w:rPr>
        <w:t>】的95%，余款作为质量保证金，本工程质保期二年，质保期内发现质量问题，乙方应及时到场免费维修，质保期满无质量问题，质量保证金在扣除相关罚款后无息退还，本合同中所指的“审计”包括“行政审计”。（付款发票必须为增值税发票）</w:t>
      </w:r>
    </w:p>
    <w:p w14:paraId="4E7E6301">
      <w:pPr>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3、售后方面要求：出现故障时，乙方在接到报修电话后一小时内必须到场。</w:t>
      </w:r>
    </w:p>
    <w:p w14:paraId="4E7E6302">
      <w:pPr>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十三、关于工程量及工程审计：</w:t>
      </w:r>
    </w:p>
    <w:p w14:paraId="4E7E6303">
      <w:pPr>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关于工程审计的约定，三个月统一结算一次，单项工程验收结束满三个月后统一报送，乙方需报送工程结算审计材料（结算审计材料一式贰份），结算书需加盖专业造价工程师执业章。工程结算必须以投标文件、合同、签证为依据，不得高估冒算。根据“江苏省省属高校建设工程项目审计实施办法”苏教审（2013）6号文及学院工程项目审计的相关办法，按下列规定支付单项工程审计费用：</w:t>
      </w:r>
    </w:p>
    <w:p w14:paraId="4E7E6304">
      <w:pPr>
        <w:adjustRightInd w:val="0"/>
        <w:snapToGrid w:val="0"/>
        <w:spacing w:line="360" w:lineRule="auto"/>
        <w:ind w:firstLine="480" w:firstLineChars="200"/>
        <w:rPr>
          <w:rFonts w:ascii="宋体" w:cs="宋体"/>
          <w:color w:val="auto"/>
          <w:kern w:val="0"/>
          <w:sz w:val="24"/>
          <w:highlight w:val="none"/>
        </w:rPr>
      </w:pPr>
      <w:r>
        <w:rPr>
          <w:rFonts w:hint="eastAsia" w:ascii="宋体" w:cs="宋体"/>
          <w:color w:val="auto"/>
          <w:kern w:val="0"/>
          <w:sz w:val="24"/>
          <w:highlight w:val="none"/>
        </w:rPr>
        <w:t>1</w:t>
      </w:r>
      <w:r>
        <w:rPr>
          <w:rFonts w:ascii="宋体" w:cs="宋体"/>
          <w:color w:val="auto"/>
          <w:kern w:val="0"/>
          <w:sz w:val="24"/>
          <w:highlight w:val="none"/>
        </w:rPr>
        <w:t>.</w:t>
      </w:r>
      <w:r>
        <w:rPr>
          <w:rFonts w:hint="eastAsia" w:ascii="宋体" w:cs="宋体"/>
          <w:color w:val="auto"/>
          <w:kern w:val="0"/>
          <w:sz w:val="24"/>
          <w:highlight w:val="none"/>
        </w:rPr>
        <w:t>工程最终结算价以第三方审计的最终审定价为准。如经审核后单项工程核减率在15%以上(含15%)的审计费用由乙方承担，并由甲方从乙方的工程款中扣缴。核减率在10%～15%(含10%，不含15%)的审计费用由乙方承担80%，并由甲方从乙方的工程款中扣缴。甲方承担20%。核减率在5%～10%(含5%，不含10%)的审计费用由乙方承担20%，并由甲方从乙方的工程款中扣缴。甲方承担80%。核减率在5%以下的审计费用由甲方承担。</w:t>
      </w:r>
    </w:p>
    <w:p w14:paraId="4E7E6305">
      <w:pPr>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注：核减率按审计最终核定额与乙方申报的结算额之间的差额计算。</w:t>
      </w:r>
    </w:p>
    <w:p w14:paraId="4E7E6306">
      <w:pPr>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2、如果核减率超过15%，该乙方二年内不得参与甲方任何项目的投标报价。</w:t>
      </w:r>
    </w:p>
    <w:p w14:paraId="4E7E6307">
      <w:pPr>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3、结算资料一次性提交，提交后不允许进行补充，如出现漏项、漏报或未及时办理变更手续的签证，甲方将视为让利不再进行调整。</w:t>
      </w:r>
    </w:p>
    <w:p w14:paraId="4E7E6308">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▲结算审计资料的内容：</w:t>
      </w:r>
    </w:p>
    <w:p w14:paraId="4E7E6309">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①结算资料一次性提交承诺书、授权委托书；</w:t>
      </w:r>
    </w:p>
    <w:p w14:paraId="4E7E630A">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②招标文件（招标清单（如有）、施工图纸（如有）等招标文件附件）；</w:t>
      </w:r>
    </w:p>
    <w:p w14:paraId="4E7E630B">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③投标文件；</w:t>
      </w:r>
    </w:p>
    <w:p w14:paraId="4E7E630C">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④竣工图纸；</w:t>
      </w:r>
    </w:p>
    <w:p w14:paraId="4E7E630D">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⑤变更资料（变更通知、签证单、工程量计算书、甲供材料清单、认质认价材料单等工程结算资料）；</w:t>
      </w:r>
    </w:p>
    <w:p w14:paraId="4E7E630E">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⑥结算书。</w:t>
      </w:r>
    </w:p>
    <w:p w14:paraId="4E7E630F">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十四、保修</w:t>
      </w:r>
    </w:p>
    <w:p w14:paraId="4E7E6310">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1、保修内容、范围：乙方施工的工程项目范围内，因乙方原因引起的质量问题，由乙方负责无偿维修。具体详见附件1《工程质量保修书》。</w:t>
      </w:r>
    </w:p>
    <w:p w14:paraId="4E7E6311">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十五、本工程施工过程中，乙方必须遵守《南通市建设工程项目廉政责任书》的有关内容，不得以任何理由向甲方工作人员赠送礼金、有价证券、贵重物品等，不得以任何理由为甲方组织有可能影响其公正执行公务的宴请、健身、娱乐等活动。</w:t>
      </w:r>
    </w:p>
    <w:p w14:paraId="4E7E6312">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十六、双方职责</w:t>
      </w:r>
    </w:p>
    <w:p w14:paraId="4E7E6313">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1、甲方职责</w:t>
      </w:r>
    </w:p>
    <w:p w14:paraId="4E7E6314">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（1）审核并批准乙方的施工组织设计、施工进度计划。</w:t>
      </w:r>
    </w:p>
    <w:p w14:paraId="4E7E6315">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（2）向乙方介绍施工现场及周围环境、配套设施情况。</w:t>
      </w:r>
    </w:p>
    <w:p w14:paraId="4E7E6316">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（3）委派专业人员督查乙方做好现场施工管理工作，协调解决该项目实施过程中的有关问题。</w:t>
      </w:r>
    </w:p>
    <w:p w14:paraId="4E7E6317">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（4）负责提供施工电、水源点。</w:t>
      </w:r>
    </w:p>
    <w:p w14:paraId="4E7E6318">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（5）委派</w:t>
      </w:r>
      <w:r>
        <w:rPr>
          <w:rFonts w:hint="eastAsia" w:ascii="宋体" w:cs="宋体"/>
          <w:color w:val="auto"/>
          <w:kern w:val="0"/>
          <w:sz w:val="24"/>
          <w:highlight w:val="none"/>
          <w:u w:val="single"/>
        </w:rPr>
        <w:t xml:space="preserve">         </w:t>
      </w:r>
      <w:r>
        <w:rPr>
          <w:rFonts w:hint="eastAsia" w:ascii="宋体" w:cs="宋体"/>
          <w:color w:val="auto"/>
          <w:kern w:val="0"/>
          <w:sz w:val="24"/>
          <w:highlight w:val="none"/>
        </w:rPr>
        <w:t>同志为现场负责人。</w:t>
      </w:r>
    </w:p>
    <w:p w14:paraId="4E7E6319">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2、乙方责任：</w:t>
      </w:r>
    </w:p>
    <w:p w14:paraId="4E7E631A">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（1）严格按相关规范标准、甲方要求组织施工，确保工程施工质量、进度，因乙方原因造成的施工质量事故由承包人负责。</w:t>
      </w:r>
    </w:p>
    <w:p w14:paraId="4E7E631B">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（2）严格执行施工安全规范及甲方有关安全文明生产等规章制度，确保现场安全、文明施工；在施工期间不得影响学校正常运行，因乙方原因造成的安全事故由乙方负责，并承担相应经济责任。</w:t>
      </w:r>
    </w:p>
    <w:p w14:paraId="4E7E631C">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（3）接受甲方现场质量监督检查和协调管理，为乙方提供工程管理及质量监督检查的必备条件。</w:t>
      </w:r>
    </w:p>
    <w:p w14:paraId="4E7E631D">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（4）负责做好材料的采购、保管工作，并确保工程材料质量。</w:t>
      </w:r>
    </w:p>
    <w:p w14:paraId="4E7E631E">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（5）负责及时清理建筑垃圾，做到工完料尽场地清。工程施工结束后，负责清理完毕场内建筑垃圾，费用自理。</w:t>
      </w:r>
    </w:p>
    <w:p w14:paraId="4E7E631F">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（6）负责做好与该工程相关的协调工作。</w:t>
      </w:r>
    </w:p>
    <w:p w14:paraId="4E7E6320">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（7）乙方委派</w:t>
      </w:r>
      <w:r>
        <w:rPr>
          <w:rFonts w:hint="eastAsia" w:ascii="宋体" w:cs="宋体"/>
          <w:color w:val="auto"/>
          <w:kern w:val="0"/>
          <w:sz w:val="24"/>
          <w:highlight w:val="none"/>
          <w:u w:val="single"/>
        </w:rPr>
        <w:t xml:space="preserve">        </w:t>
      </w:r>
      <w:r>
        <w:rPr>
          <w:rFonts w:hint="eastAsia" w:ascii="宋体" w:cs="宋体"/>
          <w:color w:val="auto"/>
          <w:kern w:val="0"/>
          <w:sz w:val="24"/>
          <w:highlight w:val="none"/>
        </w:rPr>
        <w:t>同志为现场联系人,负责协调施工中具体问题。</w:t>
      </w:r>
    </w:p>
    <w:p w14:paraId="4E7E6321">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8）重新检验：甲方如对乙方已检验的材料或已验收的部位质量有怀疑，可进行重新（抽）检验。检验合格，检验费用由甲方支付，耽误的工期预以顺延；如检验不合格，则检验费用由乙方支付，对重新检验不合格的材料，已使用部分必须拆除，与未使用部分一并清除出场，同时乙方支付甲方该部分材料价格30%的违约金；对重新检验不合格的部位，必须返工，同时乙方支付甲方该部分工程造价10%的违约金，损失的工期不预补偿。</w:t>
      </w:r>
    </w:p>
    <w:p w14:paraId="4E7E6322">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（9）工程竣工后，乙方提出竣工验收申请，并将相关竣工资料移交甲方档案室。</w:t>
      </w:r>
    </w:p>
    <w:p w14:paraId="4E7E6323">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（10）按照《劳动法》规定雇佣民工，确保民工工资按时足额到位。</w:t>
      </w:r>
    </w:p>
    <w:p w14:paraId="4E7E6324">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（11）施工结束乙方提出验收申请，经发包人验收合格方可移交。</w:t>
      </w:r>
    </w:p>
    <w:p w14:paraId="4E7E6325">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十七、安全要求</w:t>
      </w:r>
    </w:p>
    <w:p w14:paraId="4E7E6326">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施工过程中乙方应严格遵守施工安全生产规范要求，并接受甲方的检查督促，如出现的安全事故，由乙方负完全责任。参与维修施工人员由乙方购买人身意外伤害险，并将有关单据复印件交发包人，未购买该险种的人员，不得参与施工。</w:t>
      </w:r>
    </w:p>
    <w:p w14:paraId="4E7E6327">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为加强建筑工程安全生产、文明施工管理，保障施工从业人员的作业条件和生活环境，防止施工安全事故发生，乙方和作业人员应自觉遵守《中华人民共和国安全生产法》、《中华人民共和国建筑法》、《建设工程安全生产管理条例》、《安全生产许可证条例》、《江苏省建设工程现场安全文明施工措施费计价管理办法》等法律法规，如有违反，应对所造成的后果负责（包括一切人身或经济损失）。</w:t>
      </w:r>
    </w:p>
    <w:p w14:paraId="4E7E6328">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3、乙方在施工范围内进行施工，应遵守发包人的有关规章制度，如有违反，应对所造成的后果负责（包括一切人身或经济损失）。</w:t>
      </w:r>
    </w:p>
    <w:p w14:paraId="4E7E6329">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4、乙方应熟悉安全施工的有关条文，与甲方签订安全协议，明确施工安全员，做好施工中的安全管理工作，接受甲方施工监督人员及安监部门的检查与监督，安全设施和作业设备、工具应符合国家有关规定，特殊作业人员必须持证上岗。</w:t>
      </w:r>
    </w:p>
    <w:p w14:paraId="4E7E632A">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5、乙方应对施工范围的施工人员进行有关安全教育培训，进行考试并有记录。</w:t>
      </w:r>
    </w:p>
    <w:p w14:paraId="4E7E632B">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6、甲方施工监督人员应在施工前对乙方施工人员详细交待安全注意事项，检查安全措施。</w:t>
      </w:r>
    </w:p>
    <w:p w14:paraId="4E7E632C">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7、承包人对此工程应制订详细的安全技术措施、应急预案，排查危险点，制订防范措施。</w:t>
      </w:r>
    </w:p>
    <w:p w14:paraId="4E7E632D">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8、如乙方人员发生违反安全规程的现象，所造成的损失由乙方承担，甲方施工监督人员或安监部门的人员一经发现，有权制止，不听制止者可停止其施工，严重者可通知对方解除合同。</w:t>
      </w:r>
    </w:p>
    <w:p w14:paraId="4E7E632E">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十八、违约责任和争议的解决办法</w:t>
      </w:r>
    </w:p>
    <w:p w14:paraId="4E7E632F">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1、乙方逾期完工的，每逾期一日向发包人支付违约金1000元。乙方完工逾期超过5日的，甲方有权解除合同，并且乙方须向甲方支付合同总价15%的违约金。</w:t>
      </w:r>
    </w:p>
    <w:p w14:paraId="4E7E6330">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2、甲、乙双方如有争议事项，首先由双方协商解决，若不能达成一致，可向乙方所在地法院起诉。诉讼期间，双方应继续履行合同中的非争议部分。</w:t>
      </w:r>
    </w:p>
    <w:p w14:paraId="4E7E6331">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3、本合同未尽事宜可由双方根据具体情况及有关规定友好商定补充条款。</w:t>
      </w:r>
    </w:p>
    <w:p w14:paraId="4E7E6332">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十九、职业健康补充条款</w:t>
      </w:r>
    </w:p>
    <w:p w14:paraId="4E7E6333">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1、甲方应严格执行《中华人民共和国职业病防治法》和《工作场所职业卫生监督管理规定》的规定，有效控制职业危害。</w:t>
      </w:r>
    </w:p>
    <w:p w14:paraId="4E7E6334">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2、乙方承揽涉及职业危害因素的作业时，应采取措施保障员工获得相应的职业卫生保护，所有接触职业危害作业人员应当配备相应的防护用品，乙方应加强日常职业卫生管理，督促员工正确使用防护用品。</w:t>
      </w:r>
    </w:p>
    <w:p w14:paraId="4E7E6335">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3、乙方应定期开展职业健康监护工作，负责对接触职业危害作业的人员进行职业健康上岗前体检、定期体检和离岗体检。凡患禁忌病的人员和不宜从事接触职业危害工作的人员，一律不得进入甲方的施工现场，如因上述原因引起后果的由乙方负全责。</w:t>
      </w:r>
    </w:p>
    <w:p w14:paraId="4E7E6336">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二十、合同中止条款</w:t>
      </w:r>
    </w:p>
    <w:p w14:paraId="4E7E6337">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出现下列情形之一，甲方有权终止合同并没收乙方履约保证金（</w:t>
      </w:r>
      <w:r>
        <w:rPr>
          <w:rFonts w:hint="eastAsia" w:ascii="宋体" w:cs="宋体"/>
          <w:color w:val="auto"/>
          <w:kern w:val="0"/>
          <w:sz w:val="24"/>
          <w:highlight w:val="none"/>
          <w:u w:val="single"/>
        </w:rPr>
        <w:t xml:space="preserve">      </w:t>
      </w:r>
      <w:r>
        <w:rPr>
          <w:rFonts w:hint="eastAsia" w:ascii="宋体" w:cs="宋体"/>
          <w:color w:val="auto"/>
          <w:kern w:val="0"/>
          <w:sz w:val="24"/>
          <w:highlight w:val="none"/>
        </w:rPr>
        <w:t>万元）。造成损失的，乙方还应承担超过履约保证金部分的损失，同时作为不良记录存档，两年内不得参加甲方单位招投标：(1)施工期间不履行施工责任；(2)乙方未按相关技术规定要求及验收标准进行施工，连续两个工程达不到规定要求和标准的；(3)转包或违法分包；(4)施工期间发生重大安全事故。</w:t>
      </w:r>
    </w:p>
    <w:p w14:paraId="4E7E6338">
      <w:pPr>
        <w:adjustRightInd w:val="0"/>
        <w:snapToGrid w:val="0"/>
        <w:spacing w:line="480" w:lineRule="exact"/>
        <w:ind w:firstLine="480" w:firstLineChars="200"/>
        <w:rPr>
          <w:rFonts w:ascii="宋体" w:cs="宋体"/>
          <w:color w:val="auto"/>
          <w:kern w:val="0"/>
          <w:sz w:val="24"/>
          <w:highlight w:val="none"/>
        </w:rPr>
      </w:pPr>
      <w:r>
        <w:rPr>
          <w:rFonts w:hint="eastAsia" w:ascii="宋体" w:cs="宋体"/>
          <w:color w:val="auto"/>
          <w:kern w:val="0"/>
          <w:sz w:val="24"/>
          <w:highlight w:val="none"/>
        </w:rPr>
        <w:t>二十一、本合同一式陆份，甲方执肆份，乙方执贰份，本合同经双方法定代表人（或委托人）签字、加盖公章或合同章后生效。</w:t>
      </w:r>
    </w:p>
    <w:p w14:paraId="4E7E6339">
      <w:pPr>
        <w:spacing w:line="480" w:lineRule="exact"/>
        <w:ind w:left="4320" w:hanging="4320" w:hangingChars="1800"/>
        <w:rPr>
          <w:rFonts w:ascii="宋体" w:cs="宋体"/>
          <w:color w:val="auto"/>
          <w:kern w:val="0"/>
          <w:sz w:val="24"/>
          <w:highlight w:val="none"/>
        </w:rPr>
      </w:pPr>
    </w:p>
    <w:p w14:paraId="4E7E633A">
      <w:pPr>
        <w:spacing w:line="480" w:lineRule="exact"/>
        <w:ind w:left="4680" w:hanging="4680" w:hangingChars="1950"/>
        <w:rPr>
          <w:rFonts w:ascii="宋体" w:cs="宋体"/>
          <w:color w:val="auto"/>
          <w:kern w:val="0"/>
          <w:sz w:val="24"/>
          <w:highlight w:val="none"/>
        </w:rPr>
      </w:pPr>
      <w:r>
        <w:rPr>
          <w:rFonts w:hint="eastAsia" w:ascii="宋体" w:cs="宋体"/>
          <w:color w:val="auto"/>
          <w:kern w:val="0"/>
          <w:sz w:val="24"/>
          <w:highlight w:val="none"/>
        </w:rPr>
        <w:t xml:space="preserve">甲方：江苏商贸职业学院    </w:t>
      </w:r>
      <w:r>
        <w:rPr>
          <w:rFonts w:ascii="宋体" w:cs="宋体"/>
          <w:color w:val="auto"/>
          <w:kern w:val="0"/>
          <w:sz w:val="24"/>
          <w:highlight w:val="none"/>
        </w:rPr>
        <w:t xml:space="preserve">      </w:t>
      </w:r>
      <w:r>
        <w:rPr>
          <w:rFonts w:hint="eastAsia" w:ascii="宋体" w:cs="宋体"/>
          <w:color w:val="auto"/>
          <w:kern w:val="0"/>
          <w:sz w:val="24"/>
          <w:highlight w:val="none"/>
        </w:rPr>
        <w:t xml:space="preserve"> 乙方： </w:t>
      </w:r>
    </w:p>
    <w:p w14:paraId="4E7E633B">
      <w:pPr>
        <w:spacing w:line="480" w:lineRule="exact"/>
        <w:ind w:left="4680" w:hanging="4680" w:hangingChars="1950"/>
        <w:rPr>
          <w:rFonts w:ascii="宋体" w:cs="宋体"/>
          <w:color w:val="auto"/>
          <w:kern w:val="0"/>
          <w:sz w:val="24"/>
          <w:highlight w:val="none"/>
        </w:rPr>
      </w:pPr>
    </w:p>
    <w:p w14:paraId="4E7E633C">
      <w:pPr>
        <w:spacing w:line="480" w:lineRule="exact"/>
        <w:rPr>
          <w:rFonts w:ascii="宋体" w:cs="宋体"/>
          <w:color w:val="auto"/>
          <w:kern w:val="0"/>
          <w:sz w:val="24"/>
          <w:highlight w:val="none"/>
        </w:rPr>
      </w:pPr>
      <w:r>
        <w:rPr>
          <w:rFonts w:hint="eastAsia" w:ascii="宋体" w:cs="宋体"/>
          <w:color w:val="auto"/>
          <w:kern w:val="0"/>
          <w:sz w:val="24"/>
          <w:highlight w:val="none"/>
        </w:rPr>
        <w:t>代表人：                         代表人:</w:t>
      </w:r>
    </w:p>
    <w:p w14:paraId="4E7E633D">
      <w:pPr>
        <w:spacing w:line="480" w:lineRule="exact"/>
        <w:ind w:right="560"/>
        <w:rPr>
          <w:rFonts w:ascii="宋体" w:cs="宋体"/>
          <w:color w:val="auto"/>
          <w:kern w:val="0"/>
          <w:sz w:val="24"/>
          <w:highlight w:val="none"/>
        </w:rPr>
      </w:pPr>
      <w:r>
        <w:rPr>
          <w:rFonts w:hint="eastAsia" w:ascii="宋体" w:cs="宋体"/>
          <w:color w:val="auto"/>
          <w:kern w:val="0"/>
          <w:sz w:val="24"/>
          <w:highlight w:val="none"/>
        </w:rPr>
        <w:t>年   月  日                     年   月   日</w:t>
      </w:r>
    </w:p>
    <w:p w14:paraId="4E7E633E">
      <w:pPr>
        <w:pStyle w:val="3"/>
        <w:spacing w:line="300" w:lineRule="exact"/>
        <w:jc w:val="center"/>
        <w:rPr>
          <w:rFonts w:ascii="宋体" w:hAnsi="宋体"/>
          <w:color w:val="auto"/>
          <w:sz w:val="24"/>
          <w:highlight w:val="none"/>
        </w:rPr>
      </w:pPr>
      <w:r>
        <w:rPr>
          <w:rFonts w:hint="eastAsia" w:ascii="宋体" w:eastAsia="宋体" w:cs="宋体"/>
          <w:b w:val="0"/>
          <w:bCs w:val="0"/>
          <w:color w:val="auto"/>
          <w:kern w:val="0"/>
          <w:sz w:val="24"/>
          <w:szCs w:val="24"/>
          <w:highlight w:val="none"/>
        </w:rPr>
        <w:br w:type="page"/>
      </w:r>
    </w:p>
    <w:p w14:paraId="4E7E633F">
      <w:pPr>
        <w:spacing w:line="440" w:lineRule="exact"/>
        <w:rPr>
          <w:rFonts w:ascii="宋体" w:cs="宋体"/>
          <w:color w:val="auto"/>
          <w:sz w:val="24"/>
          <w:highlight w:val="none"/>
        </w:rPr>
      </w:pPr>
      <w:r>
        <w:rPr>
          <w:rFonts w:hint="eastAsia" w:ascii="宋体" w:cs="宋体"/>
          <w:color w:val="auto"/>
          <w:sz w:val="24"/>
          <w:highlight w:val="none"/>
        </w:rPr>
        <w:t>附</w:t>
      </w:r>
      <w:bookmarkStart w:id="28" w:name="_Toc296347225"/>
      <w:bookmarkStart w:id="29" w:name="_Toc296944565"/>
      <w:bookmarkStart w:id="30" w:name="_Toc296891266"/>
      <w:bookmarkStart w:id="31" w:name="_Toc296891054"/>
      <w:bookmarkStart w:id="32" w:name="_Toc296503226"/>
      <w:bookmarkStart w:id="33" w:name="_Toc267261693"/>
      <w:bookmarkStart w:id="34" w:name="_Toc296346727"/>
      <w:r>
        <w:rPr>
          <w:rFonts w:hint="eastAsia" w:ascii="宋体" w:cs="宋体"/>
          <w:color w:val="auto"/>
          <w:sz w:val="24"/>
          <w:highlight w:val="none"/>
        </w:rPr>
        <w:t>件1：</w:t>
      </w:r>
      <w:bookmarkEnd w:id="28"/>
      <w:bookmarkEnd w:id="29"/>
      <w:bookmarkEnd w:id="30"/>
      <w:bookmarkEnd w:id="31"/>
      <w:bookmarkEnd w:id="32"/>
      <w:bookmarkEnd w:id="33"/>
      <w:bookmarkEnd w:id="34"/>
    </w:p>
    <w:p w14:paraId="4E7E6340">
      <w:pPr>
        <w:spacing w:line="360" w:lineRule="auto"/>
        <w:jc w:val="center"/>
        <w:rPr>
          <w:rFonts w:ascii="宋体" w:cs="宋体"/>
          <w:b/>
          <w:color w:val="auto"/>
          <w:sz w:val="32"/>
          <w:szCs w:val="32"/>
          <w:highlight w:val="none"/>
        </w:rPr>
      </w:pPr>
      <w:r>
        <w:rPr>
          <w:rFonts w:hint="eastAsia" w:ascii="宋体" w:cs="宋体"/>
          <w:b/>
          <w:color w:val="auto"/>
          <w:sz w:val="32"/>
          <w:szCs w:val="32"/>
          <w:highlight w:val="none"/>
        </w:rPr>
        <w:t>工程质量保修书</w:t>
      </w:r>
    </w:p>
    <w:p w14:paraId="4E7E6341">
      <w:pPr>
        <w:spacing w:line="360" w:lineRule="exact"/>
        <w:ind w:firstLine="480" w:firstLineChars="200"/>
        <w:rPr>
          <w:rFonts w:ascii="宋体" w:cs="宋体"/>
          <w:color w:val="auto"/>
          <w:sz w:val="24"/>
          <w:highlight w:val="none"/>
        </w:rPr>
      </w:pPr>
    </w:p>
    <w:p w14:paraId="4E7E6342">
      <w:pPr>
        <w:spacing w:line="360" w:lineRule="auto"/>
        <w:ind w:firstLine="480" w:firstLineChars="200"/>
        <w:rPr>
          <w:rFonts w:ascii="宋体" w:cs="宋体"/>
          <w:b/>
          <w:bCs/>
          <w:color w:val="auto"/>
          <w:spacing w:val="-4"/>
          <w:kern w:val="0"/>
          <w:sz w:val="24"/>
          <w:highlight w:val="none"/>
          <w:u w:val="single"/>
        </w:rPr>
      </w:pPr>
      <w:r>
        <w:rPr>
          <w:rFonts w:hint="eastAsia" w:ascii="宋体" w:cs="宋体"/>
          <w:color w:val="auto"/>
          <w:sz w:val="24"/>
          <w:highlight w:val="none"/>
        </w:rPr>
        <w:t>发包人：</w:t>
      </w:r>
    </w:p>
    <w:p w14:paraId="4E7E6343">
      <w:pPr>
        <w:spacing w:line="360" w:lineRule="auto"/>
        <w:ind w:firstLine="480" w:firstLineChars="200"/>
        <w:rPr>
          <w:rFonts w:ascii="宋体" w:cs="宋体"/>
          <w:color w:val="auto"/>
          <w:sz w:val="24"/>
          <w:highlight w:val="none"/>
          <w:u w:val="single"/>
        </w:rPr>
      </w:pPr>
      <w:r>
        <w:rPr>
          <w:rFonts w:hint="eastAsia" w:ascii="宋体" w:cs="宋体"/>
          <w:color w:val="auto"/>
          <w:sz w:val="24"/>
          <w:highlight w:val="none"/>
        </w:rPr>
        <w:t>承包人：</w:t>
      </w:r>
    </w:p>
    <w:p w14:paraId="4E7E6344">
      <w:pPr>
        <w:spacing w:line="360" w:lineRule="auto"/>
        <w:ind w:firstLine="480" w:firstLineChars="200"/>
        <w:rPr>
          <w:rFonts w:ascii="宋体" w:cs="宋体"/>
          <w:color w:val="auto"/>
          <w:sz w:val="24"/>
          <w:highlight w:val="none"/>
        </w:rPr>
      </w:pPr>
      <w:r>
        <w:rPr>
          <w:rFonts w:hint="eastAsia" w:ascii="宋体" w:cs="宋体"/>
          <w:color w:val="auto"/>
          <w:sz w:val="24"/>
          <w:highlight w:val="none"/>
        </w:rPr>
        <w:t>发包人、承包人根据《中华人民共和国建筑法》、《建设工程质量管理条例》和《房屋建筑工程质量保修办法》，经协商一致，对标段签订工程质量保修书。</w:t>
      </w:r>
    </w:p>
    <w:p w14:paraId="4E7E6345">
      <w:pPr>
        <w:spacing w:line="360" w:lineRule="auto"/>
        <w:ind w:firstLine="480" w:firstLineChars="200"/>
        <w:rPr>
          <w:rFonts w:ascii="宋体" w:cs="宋体"/>
          <w:color w:val="auto"/>
          <w:sz w:val="24"/>
          <w:highlight w:val="none"/>
        </w:rPr>
      </w:pPr>
      <w:r>
        <w:rPr>
          <w:rFonts w:hint="eastAsia" w:ascii="宋体" w:cs="宋体"/>
          <w:color w:val="auto"/>
          <w:sz w:val="24"/>
          <w:highlight w:val="none"/>
        </w:rPr>
        <w:t>一、工程质量保修范围和内容</w:t>
      </w:r>
    </w:p>
    <w:p w14:paraId="4E7E6346">
      <w:pPr>
        <w:pStyle w:val="19"/>
        <w:ind w:firstLine="500"/>
        <w:rPr>
          <w:rFonts w:ascii="宋体" w:eastAsia="宋体" w:cs="宋体"/>
          <w:color w:val="auto"/>
          <w:highlight w:val="none"/>
        </w:rPr>
      </w:pPr>
      <w:r>
        <w:rPr>
          <w:rFonts w:hint="eastAsia" w:ascii="宋体" w:eastAsia="宋体" w:cs="宋体"/>
          <w:color w:val="auto"/>
          <w:highlight w:val="none"/>
        </w:rPr>
        <w:t>承包人在质量保修期内，按照有关法律、法规、规章规定和双方约定，承担本工程质量保修责任。</w:t>
      </w:r>
    </w:p>
    <w:p w14:paraId="4E7E6347">
      <w:pPr>
        <w:spacing w:line="360" w:lineRule="auto"/>
        <w:ind w:firstLine="500" w:firstLineChars="200"/>
        <w:rPr>
          <w:rFonts w:ascii="宋体" w:cs="宋体"/>
          <w:color w:val="auto"/>
          <w:sz w:val="25"/>
          <w:highlight w:val="none"/>
          <w:u w:val="single"/>
        </w:rPr>
      </w:pPr>
      <w:r>
        <w:rPr>
          <w:rFonts w:hint="eastAsia" w:ascii="宋体" w:cs="宋体"/>
          <w:color w:val="auto"/>
          <w:sz w:val="25"/>
          <w:highlight w:val="none"/>
        </w:rPr>
        <w:t>质量保修范围包括本工程施工合同所包含的所有内容，以及双方约定的其他项目。具体保修的内容，双方约定如下：</w:t>
      </w:r>
    </w:p>
    <w:p w14:paraId="4E7E6348">
      <w:pPr>
        <w:spacing w:line="360" w:lineRule="auto"/>
        <w:ind w:firstLine="480" w:firstLineChars="200"/>
        <w:rPr>
          <w:rFonts w:ascii="宋体" w:cs="宋体"/>
          <w:color w:val="auto"/>
          <w:sz w:val="24"/>
          <w:highlight w:val="none"/>
        </w:rPr>
      </w:pPr>
      <w:r>
        <w:rPr>
          <w:rFonts w:hint="eastAsia" w:ascii="宋体" w:cs="宋体"/>
          <w:color w:val="auto"/>
          <w:sz w:val="24"/>
          <w:highlight w:val="none"/>
        </w:rPr>
        <w:t>二、质量保修期</w:t>
      </w:r>
    </w:p>
    <w:p w14:paraId="4E7E6349">
      <w:pPr>
        <w:spacing w:line="360" w:lineRule="auto"/>
        <w:ind w:firstLine="480" w:firstLineChars="200"/>
        <w:rPr>
          <w:rFonts w:ascii="宋体" w:cs="宋体"/>
          <w:color w:val="auto"/>
          <w:sz w:val="24"/>
          <w:highlight w:val="none"/>
        </w:rPr>
      </w:pPr>
      <w:r>
        <w:rPr>
          <w:rFonts w:hint="eastAsia" w:ascii="宋体" w:cs="宋体"/>
          <w:color w:val="auto"/>
          <w:sz w:val="24"/>
          <w:highlight w:val="none"/>
        </w:rPr>
        <w:t>质量保修期从</w:t>
      </w:r>
      <w:r>
        <w:rPr>
          <w:rFonts w:hint="eastAsia" w:ascii="宋体" w:cs="宋体"/>
          <w:b/>
          <w:bCs/>
          <w:color w:val="auto"/>
          <w:sz w:val="24"/>
          <w:highlight w:val="none"/>
          <w:u w:val="single"/>
        </w:rPr>
        <w:t>工程实际竣工验收通过之日</w:t>
      </w:r>
      <w:r>
        <w:rPr>
          <w:rFonts w:hint="eastAsia" w:ascii="宋体" w:cs="宋体"/>
          <w:color w:val="auto"/>
          <w:sz w:val="24"/>
          <w:highlight w:val="none"/>
        </w:rPr>
        <w:t>算起。</w:t>
      </w:r>
    </w:p>
    <w:p w14:paraId="4E7E634A">
      <w:pPr>
        <w:pStyle w:val="81"/>
        <w:spacing w:line="480" w:lineRule="exact"/>
        <w:ind w:firstLine="480" w:firstLineChars="200"/>
        <w:rPr>
          <w:rStyle w:val="44"/>
          <w:rFonts w:ascii="宋体" w:cs="宋体"/>
          <w:i w:val="0"/>
          <w:color w:val="auto"/>
          <w:highlight w:val="none"/>
        </w:rPr>
      </w:pPr>
      <w:r>
        <w:rPr>
          <w:rStyle w:val="44"/>
          <w:rFonts w:hint="eastAsia" w:ascii="宋体" w:cs="宋体"/>
          <w:i w:val="0"/>
          <w:color w:val="auto"/>
          <w:highlight w:val="none"/>
        </w:rPr>
        <w:t>双方根据《建设工程质量管理条例》及有关规定，约定本工程的质量保修期贰年。</w:t>
      </w:r>
    </w:p>
    <w:p w14:paraId="4E7E634B">
      <w:pPr>
        <w:spacing w:line="360" w:lineRule="auto"/>
        <w:ind w:firstLine="480" w:firstLineChars="200"/>
        <w:rPr>
          <w:rFonts w:ascii="宋体" w:cs="宋体"/>
          <w:color w:val="auto"/>
          <w:sz w:val="24"/>
          <w:highlight w:val="none"/>
        </w:rPr>
      </w:pPr>
      <w:r>
        <w:rPr>
          <w:rFonts w:hint="eastAsia" w:ascii="宋体" w:cs="宋体"/>
          <w:color w:val="auto"/>
          <w:sz w:val="24"/>
          <w:highlight w:val="none"/>
        </w:rPr>
        <w:t>三、质量保修责任</w:t>
      </w:r>
    </w:p>
    <w:p w14:paraId="4E7E634C">
      <w:pPr>
        <w:pStyle w:val="81"/>
        <w:spacing w:line="360" w:lineRule="auto"/>
        <w:ind w:firstLine="480" w:firstLineChars="200"/>
        <w:jc w:val="both"/>
        <w:rPr>
          <w:rStyle w:val="44"/>
          <w:rFonts w:ascii="宋体" w:cs="宋体"/>
          <w:i w:val="0"/>
          <w:color w:val="auto"/>
          <w:highlight w:val="none"/>
        </w:rPr>
      </w:pPr>
      <w:r>
        <w:rPr>
          <w:rStyle w:val="44"/>
          <w:rFonts w:hint="eastAsia" w:ascii="宋体" w:cs="宋体"/>
          <w:i w:val="0"/>
          <w:color w:val="auto"/>
          <w:highlight w:val="none"/>
        </w:rPr>
        <w:t>3.1属于保修范围、内容的项目，承包人应当在接到保修通知之日起7天内派人保修。承包人不在约定期限内派人保修的，发包人可以委托他人修理。</w:t>
      </w:r>
    </w:p>
    <w:p w14:paraId="4E7E634D">
      <w:pPr>
        <w:pStyle w:val="81"/>
        <w:spacing w:line="360" w:lineRule="auto"/>
        <w:ind w:firstLine="480" w:firstLineChars="200"/>
        <w:jc w:val="both"/>
        <w:rPr>
          <w:rStyle w:val="44"/>
          <w:rFonts w:ascii="宋体" w:cs="宋体"/>
          <w:i w:val="0"/>
          <w:color w:val="auto"/>
          <w:highlight w:val="none"/>
        </w:rPr>
      </w:pPr>
      <w:r>
        <w:rPr>
          <w:rStyle w:val="44"/>
          <w:rFonts w:hint="eastAsia" w:ascii="宋体" w:cs="宋体"/>
          <w:i w:val="0"/>
          <w:color w:val="auto"/>
          <w:highlight w:val="none"/>
        </w:rPr>
        <w:t>3.2发生紧急抢修事故的，承包人在接到事故通知后，应当立即到达事故现场抢修。</w:t>
      </w:r>
    </w:p>
    <w:p w14:paraId="4E7E634E">
      <w:pPr>
        <w:pStyle w:val="81"/>
        <w:spacing w:line="360" w:lineRule="auto"/>
        <w:ind w:firstLine="480" w:firstLineChars="200"/>
        <w:jc w:val="both"/>
        <w:rPr>
          <w:rStyle w:val="44"/>
          <w:rFonts w:ascii="宋体" w:cs="宋体"/>
          <w:i w:val="0"/>
          <w:color w:val="auto"/>
          <w:highlight w:val="none"/>
        </w:rPr>
      </w:pPr>
      <w:r>
        <w:rPr>
          <w:rStyle w:val="44"/>
          <w:rFonts w:hint="eastAsia" w:ascii="宋体" w:cs="宋体"/>
          <w:i w:val="0"/>
          <w:color w:val="auto"/>
          <w:highlight w:val="none"/>
        </w:rPr>
        <w:t>3.3对于涉及结构安全的质量问题，应当按照《建设工程质量管理条例》的规定，立即向当地建设行政主管部门报告，采取安全防范措施，由原设计单位或者具有相应资质等级的设计单位提出保修方案，承包人实施保修。</w:t>
      </w:r>
    </w:p>
    <w:p w14:paraId="4E7E634F">
      <w:pPr>
        <w:pStyle w:val="81"/>
        <w:spacing w:line="360" w:lineRule="auto"/>
        <w:ind w:firstLine="480" w:firstLineChars="200"/>
        <w:jc w:val="both"/>
        <w:rPr>
          <w:rStyle w:val="44"/>
          <w:rFonts w:ascii="宋体" w:cs="宋体"/>
          <w:i w:val="0"/>
          <w:color w:val="auto"/>
          <w:highlight w:val="none"/>
        </w:rPr>
      </w:pPr>
      <w:r>
        <w:rPr>
          <w:rStyle w:val="44"/>
          <w:rFonts w:hint="eastAsia" w:ascii="宋体" w:cs="宋体"/>
          <w:i w:val="0"/>
          <w:color w:val="auto"/>
          <w:highlight w:val="none"/>
        </w:rPr>
        <w:t>3.4质量保修完成后，由发包人组织验收。</w:t>
      </w:r>
    </w:p>
    <w:p w14:paraId="4E7E6350">
      <w:pPr>
        <w:pStyle w:val="81"/>
        <w:spacing w:line="360" w:lineRule="auto"/>
        <w:ind w:firstLine="482" w:firstLineChars="200"/>
        <w:jc w:val="both"/>
        <w:rPr>
          <w:rStyle w:val="44"/>
          <w:rFonts w:ascii="宋体" w:cs="宋体"/>
          <w:b/>
          <w:bCs/>
          <w:i w:val="0"/>
          <w:color w:val="auto"/>
          <w:highlight w:val="none"/>
        </w:rPr>
      </w:pPr>
      <w:r>
        <w:rPr>
          <w:rStyle w:val="44"/>
          <w:rFonts w:hint="eastAsia" w:ascii="宋体" w:cs="宋体"/>
          <w:b/>
          <w:bCs/>
          <w:i w:val="0"/>
          <w:color w:val="auto"/>
          <w:highlight w:val="none"/>
        </w:rPr>
        <w:t>4.保修费用</w:t>
      </w:r>
    </w:p>
    <w:p w14:paraId="4E7E6351">
      <w:pPr>
        <w:pStyle w:val="81"/>
        <w:spacing w:line="360" w:lineRule="auto"/>
        <w:ind w:firstLine="480" w:firstLineChars="200"/>
        <w:jc w:val="both"/>
        <w:rPr>
          <w:rStyle w:val="44"/>
          <w:rFonts w:ascii="宋体" w:cs="宋体"/>
          <w:i w:val="0"/>
          <w:color w:val="auto"/>
          <w:highlight w:val="none"/>
        </w:rPr>
      </w:pPr>
      <w:r>
        <w:rPr>
          <w:rStyle w:val="44"/>
          <w:rFonts w:hint="eastAsia" w:ascii="宋体" w:cs="宋体"/>
          <w:i w:val="0"/>
          <w:color w:val="auto"/>
          <w:highlight w:val="none"/>
        </w:rPr>
        <w:t>4.1.保修费用由造成质量缺陷的责任方承担。</w:t>
      </w:r>
    </w:p>
    <w:p w14:paraId="4E7E6352">
      <w:pPr>
        <w:autoSpaceDE w:val="0"/>
        <w:autoSpaceDN w:val="0"/>
        <w:adjustRightInd w:val="0"/>
        <w:spacing w:line="360" w:lineRule="auto"/>
        <w:ind w:firstLine="480" w:firstLineChars="200"/>
        <w:rPr>
          <w:rFonts w:ascii="宋体" w:cs="宋体"/>
          <w:color w:val="auto"/>
          <w:kern w:val="0"/>
          <w:sz w:val="24"/>
          <w:highlight w:val="none"/>
        </w:rPr>
      </w:pPr>
      <w:r>
        <w:rPr>
          <w:rFonts w:hint="eastAsia" w:ascii="宋体" w:cs="宋体"/>
          <w:color w:val="auto"/>
          <w:kern w:val="0"/>
          <w:sz w:val="24"/>
          <w:highlight w:val="none"/>
        </w:rPr>
        <w:t xml:space="preserve">4.2 </w:t>
      </w:r>
      <w:r>
        <w:rPr>
          <w:rStyle w:val="44"/>
          <w:rFonts w:hint="eastAsia" w:ascii="宋体" w:cs="宋体"/>
          <w:i w:val="0"/>
          <w:iCs/>
          <w:color w:val="auto"/>
          <w:sz w:val="24"/>
          <w:highlight w:val="none"/>
        </w:rPr>
        <w:t>工程质量保证金为最终审计价的5%，保修费从工程质量保证金内扣除。</w:t>
      </w:r>
    </w:p>
    <w:p w14:paraId="4E7E6353">
      <w:pPr>
        <w:pStyle w:val="81"/>
        <w:spacing w:line="360" w:lineRule="auto"/>
        <w:ind w:firstLine="482" w:firstLineChars="200"/>
        <w:jc w:val="both"/>
        <w:rPr>
          <w:rStyle w:val="44"/>
          <w:rFonts w:ascii="宋体" w:cs="宋体"/>
          <w:b/>
          <w:bCs/>
          <w:i w:val="0"/>
          <w:color w:val="auto"/>
          <w:highlight w:val="none"/>
        </w:rPr>
      </w:pPr>
      <w:r>
        <w:rPr>
          <w:rStyle w:val="44"/>
          <w:rFonts w:hint="eastAsia" w:ascii="宋体" w:cs="宋体"/>
          <w:b/>
          <w:bCs/>
          <w:i w:val="0"/>
          <w:color w:val="auto"/>
          <w:highlight w:val="none"/>
        </w:rPr>
        <w:t>5.其他</w:t>
      </w:r>
    </w:p>
    <w:p w14:paraId="4E7E6354">
      <w:pPr>
        <w:pStyle w:val="81"/>
        <w:spacing w:line="360" w:lineRule="auto"/>
        <w:ind w:firstLine="480" w:firstLineChars="200"/>
        <w:rPr>
          <w:rStyle w:val="44"/>
          <w:rFonts w:ascii="宋体" w:cs="宋体"/>
          <w:i w:val="0"/>
          <w:color w:val="auto"/>
          <w:highlight w:val="none"/>
        </w:rPr>
      </w:pPr>
      <w:r>
        <w:rPr>
          <w:rStyle w:val="44"/>
          <w:rFonts w:hint="eastAsia" w:ascii="宋体" w:cs="宋体"/>
          <w:i w:val="0"/>
          <w:color w:val="auto"/>
          <w:highlight w:val="none"/>
        </w:rPr>
        <w:t>5.1.双方约定的其他工程质量保修事项：</w:t>
      </w:r>
    </w:p>
    <w:p w14:paraId="4E7E6355">
      <w:pPr>
        <w:pStyle w:val="81"/>
        <w:spacing w:line="360" w:lineRule="auto"/>
        <w:ind w:firstLine="480" w:firstLineChars="200"/>
        <w:rPr>
          <w:rStyle w:val="44"/>
          <w:rFonts w:ascii="宋体" w:cs="宋体"/>
          <w:i w:val="0"/>
          <w:color w:val="auto"/>
          <w:highlight w:val="none"/>
        </w:rPr>
      </w:pPr>
      <w:r>
        <w:rPr>
          <w:rStyle w:val="44"/>
          <w:rFonts w:hint="eastAsia" w:ascii="宋体" w:cs="宋体"/>
          <w:i w:val="0"/>
          <w:color w:val="auto"/>
          <w:highlight w:val="none"/>
        </w:rPr>
        <w:t xml:space="preserve">5.1.1 本工程双方约定承包人向发包人支付工程质量保证金额为 </w:t>
      </w:r>
      <w:r>
        <w:rPr>
          <w:rStyle w:val="44"/>
          <w:rFonts w:hint="eastAsia" w:ascii="宋体" w:cs="宋体"/>
          <w:i w:val="0"/>
          <w:color w:val="auto"/>
          <w:highlight w:val="none"/>
          <w:u w:val="single"/>
        </w:rPr>
        <w:t>工程最终审计价的5%</w:t>
      </w:r>
      <w:r>
        <w:rPr>
          <w:rStyle w:val="44"/>
          <w:rFonts w:hint="eastAsia" w:ascii="宋体" w:cs="宋体"/>
          <w:i/>
          <w:color w:val="auto"/>
          <w:highlight w:val="none"/>
        </w:rPr>
        <w:t>。</w:t>
      </w:r>
    </w:p>
    <w:p w14:paraId="4E7E6356">
      <w:pPr>
        <w:pStyle w:val="81"/>
        <w:spacing w:line="360" w:lineRule="auto"/>
        <w:ind w:firstLine="480" w:firstLineChars="200"/>
        <w:rPr>
          <w:rStyle w:val="44"/>
          <w:rFonts w:ascii="宋体" w:cs="宋体"/>
          <w:i w:val="0"/>
          <w:color w:val="auto"/>
          <w:highlight w:val="none"/>
        </w:rPr>
      </w:pPr>
      <w:r>
        <w:rPr>
          <w:rStyle w:val="44"/>
          <w:rFonts w:hint="eastAsia" w:ascii="宋体" w:cs="宋体"/>
          <w:i w:val="0"/>
          <w:color w:val="auto"/>
          <w:highlight w:val="none"/>
        </w:rPr>
        <w:t>5.1.2 质量保证金额的返还：工程质量保修期满贰年后返还。</w:t>
      </w:r>
    </w:p>
    <w:p w14:paraId="4E7E6357">
      <w:pPr>
        <w:pStyle w:val="81"/>
        <w:spacing w:line="360" w:lineRule="auto"/>
        <w:ind w:firstLine="480" w:firstLineChars="200"/>
        <w:rPr>
          <w:rStyle w:val="44"/>
          <w:rFonts w:ascii="宋体" w:cs="宋体"/>
          <w:i w:val="0"/>
          <w:color w:val="auto"/>
          <w:highlight w:val="none"/>
        </w:rPr>
      </w:pPr>
      <w:r>
        <w:rPr>
          <w:rStyle w:val="44"/>
          <w:rFonts w:hint="eastAsia" w:ascii="宋体" w:cs="宋体"/>
          <w:i w:val="0"/>
          <w:color w:val="auto"/>
          <w:highlight w:val="none"/>
        </w:rPr>
        <w:t>5.1.3 质量保证金额不计利息。</w:t>
      </w:r>
    </w:p>
    <w:p w14:paraId="4E7E6358">
      <w:pPr>
        <w:pStyle w:val="81"/>
        <w:spacing w:line="360" w:lineRule="auto"/>
        <w:ind w:firstLine="480" w:firstLineChars="200"/>
        <w:rPr>
          <w:rStyle w:val="44"/>
          <w:rFonts w:ascii="宋体" w:cs="宋体"/>
          <w:i w:val="0"/>
          <w:color w:val="auto"/>
          <w:highlight w:val="none"/>
        </w:rPr>
      </w:pPr>
      <w:r>
        <w:rPr>
          <w:rStyle w:val="44"/>
          <w:rFonts w:hint="eastAsia" w:ascii="宋体" w:cs="宋体"/>
          <w:i w:val="0"/>
          <w:color w:val="auto"/>
          <w:highlight w:val="none"/>
        </w:rPr>
        <w:t xml:space="preserve">5.1.4 承包人实施工程质量保修时须遵守物业管理的有关规定。         </w:t>
      </w:r>
    </w:p>
    <w:p w14:paraId="4E7E6359">
      <w:pPr>
        <w:pStyle w:val="81"/>
        <w:spacing w:line="360" w:lineRule="auto"/>
        <w:ind w:firstLine="480" w:firstLineChars="200"/>
        <w:rPr>
          <w:rStyle w:val="44"/>
          <w:rFonts w:ascii="宋体" w:cs="宋体"/>
          <w:i w:val="0"/>
          <w:color w:val="auto"/>
          <w:highlight w:val="none"/>
        </w:rPr>
      </w:pPr>
      <w:r>
        <w:rPr>
          <w:rStyle w:val="44"/>
          <w:rFonts w:hint="eastAsia" w:ascii="宋体" w:cs="宋体"/>
          <w:i w:val="0"/>
          <w:color w:val="auto"/>
          <w:highlight w:val="none"/>
        </w:rPr>
        <w:t xml:space="preserve">5.1.5 因承包人未能及时履行保修责任引起发包人的一切损失，均由承包人承担。 </w:t>
      </w:r>
    </w:p>
    <w:p w14:paraId="4E7E635A">
      <w:pPr>
        <w:pStyle w:val="81"/>
        <w:spacing w:line="360" w:lineRule="auto"/>
        <w:ind w:firstLine="480" w:firstLineChars="200"/>
        <w:rPr>
          <w:rStyle w:val="44"/>
          <w:rFonts w:ascii="宋体" w:cs="宋体"/>
          <w:i/>
          <w:color w:val="auto"/>
          <w:highlight w:val="none"/>
        </w:rPr>
      </w:pPr>
      <w:r>
        <w:rPr>
          <w:rStyle w:val="44"/>
          <w:rFonts w:hint="eastAsia" w:ascii="宋体" w:cs="宋体"/>
          <w:i w:val="0"/>
          <w:color w:val="auto"/>
          <w:highlight w:val="none"/>
        </w:rPr>
        <w:t>5.1.6 报修24小时内应派员检查，7天内维修完毕，若因质量问题维修费用由承包人承担；若非质量问题所产生的费用依据投标报价由发包人承担。</w:t>
      </w:r>
    </w:p>
    <w:p w14:paraId="4E7E635B">
      <w:pPr>
        <w:pStyle w:val="81"/>
        <w:spacing w:line="360" w:lineRule="auto"/>
        <w:ind w:firstLine="480" w:firstLineChars="200"/>
        <w:jc w:val="both"/>
        <w:rPr>
          <w:rStyle w:val="44"/>
          <w:rFonts w:ascii="宋体" w:cs="宋体"/>
          <w:i w:val="0"/>
          <w:color w:val="auto"/>
          <w:highlight w:val="none"/>
        </w:rPr>
      </w:pPr>
      <w:r>
        <w:rPr>
          <w:rStyle w:val="44"/>
          <w:rFonts w:hint="eastAsia" w:ascii="宋体" w:cs="宋体"/>
          <w:i w:val="0"/>
          <w:color w:val="auto"/>
          <w:highlight w:val="none"/>
        </w:rPr>
        <w:t>5.2.本工程质量保修书，由施工合同发包人、承包人双方在竣工验收前共同签署，作为施工合同附件，其有效期限至保修期满。</w:t>
      </w:r>
    </w:p>
    <w:p w14:paraId="4E7E635C">
      <w:pPr>
        <w:spacing w:line="360" w:lineRule="exact"/>
        <w:rPr>
          <w:rFonts w:ascii="宋体" w:cs="宋体"/>
          <w:color w:val="auto"/>
          <w:sz w:val="24"/>
          <w:highlight w:val="none"/>
        </w:rPr>
      </w:pPr>
    </w:p>
    <w:p w14:paraId="4E7E635D">
      <w:pPr>
        <w:spacing w:line="360" w:lineRule="exact"/>
        <w:rPr>
          <w:rFonts w:ascii="宋体" w:cs="宋体"/>
          <w:color w:val="auto"/>
          <w:sz w:val="24"/>
          <w:highlight w:val="none"/>
        </w:rPr>
      </w:pPr>
    </w:p>
    <w:p w14:paraId="4E7E635E">
      <w:pPr>
        <w:spacing w:line="360" w:lineRule="exact"/>
        <w:rPr>
          <w:rFonts w:ascii="宋体" w:cs="宋体"/>
          <w:color w:val="auto"/>
          <w:sz w:val="24"/>
          <w:highlight w:val="none"/>
        </w:rPr>
      </w:pPr>
    </w:p>
    <w:p w14:paraId="4E7E635F">
      <w:pPr>
        <w:spacing w:line="360" w:lineRule="exact"/>
        <w:rPr>
          <w:rFonts w:ascii="宋体" w:cs="宋体"/>
          <w:color w:val="auto"/>
          <w:sz w:val="24"/>
          <w:highlight w:val="none"/>
        </w:rPr>
      </w:pPr>
      <w:r>
        <w:rPr>
          <w:rFonts w:hint="eastAsia" w:ascii="宋体" w:cs="宋体"/>
          <w:color w:val="auto"/>
          <w:sz w:val="24"/>
          <w:highlight w:val="none"/>
        </w:rPr>
        <w:t>发包人（公章）：                     承包人（公章）</w:t>
      </w:r>
    </w:p>
    <w:p w14:paraId="4E7E6360">
      <w:pPr>
        <w:spacing w:line="360" w:lineRule="exact"/>
        <w:rPr>
          <w:rFonts w:ascii="宋体" w:cs="宋体"/>
          <w:color w:val="auto"/>
          <w:sz w:val="24"/>
          <w:highlight w:val="none"/>
        </w:rPr>
      </w:pPr>
    </w:p>
    <w:p w14:paraId="4E7E6361">
      <w:pPr>
        <w:spacing w:line="480" w:lineRule="exact"/>
        <w:rPr>
          <w:rFonts w:ascii="宋体" w:cs="宋体"/>
          <w:color w:val="auto"/>
          <w:kern w:val="0"/>
          <w:sz w:val="24"/>
          <w:highlight w:val="none"/>
        </w:rPr>
      </w:pPr>
      <w:r>
        <w:rPr>
          <w:rFonts w:hint="eastAsia" w:ascii="宋体" w:cs="宋体"/>
          <w:color w:val="auto"/>
          <w:kern w:val="0"/>
          <w:sz w:val="24"/>
          <w:highlight w:val="none"/>
        </w:rPr>
        <w:t>代表人：                            代表人:</w:t>
      </w:r>
    </w:p>
    <w:p w14:paraId="4E7E6362">
      <w:pPr>
        <w:spacing w:line="360" w:lineRule="auto"/>
        <w:rPr>
          <w:rFonts w:ascii="宋体" w:cs="宋体"/>
          <w:color w:val="auto"/>
          <w:sz w:val="24"/>
          <w:highlight w:val="none"/>
        </w:rPr>
      </w:pPr>
    </w:p>
    <w:p w14:paraId="4E7E6363">
      <w:pPr>
        <w:jc w:val="center"/>
        <w:rPr>
          <w:rFonts w:ascii="宋体" w:cs="宋体"/>
          <w:color w:val="auto"/>
          <w:sz w:val="24"/>
          <w:highlight w:val="none"/>
        </w:rPr>
      </w:pPr>
      <w:r>
        <w:rPr>
          <w:rFonts w:hint="eastAsia" w:ascii="宋体" w:cs="宋体"/>
          <w:color w:val="auto"/>
          <w:sz w:val="24"/>
          <w:highlight w:val="none"/>
        </w:rPr>
        <w:t xml:space="preserve">                                                  年    月    日</w:t>
      </w:r>
    </w:p>
    <w:p w14:paraId="4E7E6364">
      <w:pPr>
        <w:spacing w:line="440" w:lineRule="exact"/>
        <w:rPr>
          <w:rFonts w:ascii="宋体" w:cs="宋体"/>
          <w:color w:val="auto"/>
          <w:sz w:val="24"/>
          <w:highlight w:val="none"/>
        </w:rPr>
      </w:pPr>
    </w:p>
    <w:p w14:paraId="4E7E6365">
      <w:pPr>
        <w:spacing w:line="440" w:lineRule="exact"/>
        <w:jc w:val="center"/>
        <w:rPr>
          <w:rFonts w:ascii="宋体" w:cs="宋体"/>
          <w:b/>
          <w:color w:val="auto"/>
          <w:sz w:val="30"/>
          <w:szCs w:val="30"/>
          <w:highlight w:val="none"/>
        </w:rPr>
      </w:pPr>
      <w:r>
        <w:rPr>
          <w:rFonts w:hint="eastAsia" w:ascii="宋体" w:cs="宋体"/>
          <w:color w:val="auto"/>
          <w:sz w:val="24"/>
          <w:highlight w:val="none"/>
        </w:rPr>
        <w:br w:type="page"/>
      </w:r>
      <w:bookmarkStart w:id="35" w:name="_Toc404159961"/>
      <w:bookmarkStart w:id="36" w:name="_Toc404174019"/>
      <w:r>
        <w:rPr>
          <w:rFonts w:hint="eastAsia" w:ascii="宋体" w:cs="宋体"/>
          <w:b/>
          <w:color w:val="auto"/>
          <w:sz w:val="30"/>
          <w:szCs w:val="30"/>
          <w:highlight w:val="none"/>
        </w:rPr>
        <w:t>第四章 工程建设标准</w:t>
      </w:r>
      <w:bookmarkEnd w:id="35"/>
      <w:bookmarkEnd w:id="36"/>
    </w:p>
    <w:p w14:paraId="4E7E6366">
      <w:pPr>
        <w:widowControl/>
        <w:numPr>
          <w:ilvl w:val="0"/>
          <w:numId w:val="4"/>
        </w:numPr>
        <w:spacing w:line="440" w:lineRule="exact"/>
        <w:ind w:left="0" w:firstLine="482" w:firstLineChars="200"/>
        <w:rPr>
          <w:rFonts w:ascii="宋体" w:cs="宋体"/>
          <w:b/>
          <w:bCs/>
          <w:color w:val="auto"/>
          <w:kern w:val="0"/>
          <w:sz w:val="24"/>
          <w:highlight w:val="none"/>
        </w:rPr>
      </w:pPr>
      <w:r>
        <w:rPr>
          <w:rFonts w:hint="eastAsia" w:ascii="宋体" w:cs="宋体"/>
          <w:b/>
          <w:bCs/>
          <w:color w:val="auto"/>
          <w:kern w:val="0"/>
          <w:sz w:val="24"/>
          <w:highlight w:val="none"/>
        </w:rPr>
        <w:t>工程采用的计价规范</w:t>
      </w:r>
    </w:p>
    <w:p w14:paraId="4E7E6367">
      <w:pPr>
        <w:spacing w:line="440" w:lineRule="exact"/>
        <w:ind w:firstLine="480" w:firstLineChars="200"/>
        <w:rPr>
          <w:rFonts w:ascii="宋体" w:cs="宋体"/>
          <w:color w:val="auto"/>
          <w:sz w:val="24"/>
          <w:highlight w:val="none"/>
        </w:rPr>
      </w:pPr>
      <w:r>
        <w:rPr>
          <w:rFonts w:hint="eastAsia" w:ascii="宋体" w:cs="宋体"/>
          <w:color w:val="auto"/>
          <w:kern w:val="0"/>
          <w:sz w:val="24"/>
          <w:highlight w:val="none"/>
        </w:rPr>
        <w:t>1、</w:t>
      </w:r>
      <w:r>
        <w:rPr>
          <w:rFonts w:hint="eastAsia" w:ascii="宋体" w:cs="宋体"/>
          <w:color w:val="auto"/>
          <w:sz w:val="24"/>
          <w:highlight w:val="none"/>
        </w:rPr>
        <w:t>江苏省、南通市现行的工程造价计价文件。</w:t>
      </w:r>
    </w:p>
    <w:p w14:paraId="4E7E6368">
      <w:pPr>
        <w:widowControl/>
        <w:spacing w:line="440" w:lineRule="exact"/>
        <w:ind w:firstLine="482" w:firstLineChars="200"/>
        <w:rPr>
          <w:rFonts w:ascii="宋体" w:cs="宋体"/>
          <w:b/>
          <w:bCs/>
          <w:color w:val="auto"/>
          <w:kern w:val="0"/>
          <w:sz w:val="24"/>
          <w:highlight w:val="none"/>
        </w:rPr>
      </w:pPr>
      <w:r>
        <w:rPr>
          <w:rFonts w:hint="eastAsia" w:ascii="宋体" w:cs="宋体"/>
          <w:b/>
          <w:bCs/>
          <w:color w:val="auto"/>
          <w:kern w:val="0"/>
          <w:sz w:val="24"/>
          <w:highlight w:val="none"/>
        </w:rPr>
        <w:t>二、本工程采用的技术规范</w:t>
      </w:r>
    </w:p>
    <w:p w14:paraId="4E7E6369">
      <w:pPr>
        <w:spacing w:line="440" w:lineRule="exact"/>
        <w:ind w:firstLine="480" w:firstLineChars="200"/>
        <w:rPr>
          <w:rFonts w:ascii="宋体" w:cs="宋体"/>
          <w:color w:val="auto"/>
          <w:sz w:val="24"/>
          <w:highlight w:val="none"/>
        </w:rPr>
      </w:pPr>
      <w:r>
        <w:rPr>
          <w:rFonts w:hint="eastAsia" w:ascii="宋体" w:cs="宋体"/>
          <w:color w:val="auto"/>
          <w:sz w:val="24"/>
          <w:highlight w:val="none"/>
        </w:rPr>
        <w:t xml:space="preserve">现行的技术标准和规范，投标方应使系统的设计、施工及选用的设备/材料符合最新版本的国际和国家标准、规范，并提供所采用的国际和国家标准、规范及所采用版本的有关技术资料。 </w:t>
      </w:r>
    </w:p>
    <w:p w14:paraId="4E7E636A">
      <w:pPr>
        <w:widowControl/>
        <w:spacing w:line="440" w:lineRule="exact"/>
        <w:ind w:firstLine="482" w:firstLineChars="200"/>
        <w:rPr>
          <w:rFonts w:ascii="宋体" w:cs="宋体"/>
          <w:b/>
          <w:bCs/>
          <w:color w:val="auto"/>
          <w:kern w:val="0"/>
          <w:sz w:val="24"/>
          <w:highlight w:val="none"/>
        </w:rPr>
      </w:pPr>
      <w:r>
        <w:rPr>
          <w:rFonts w:hint="eastAsia" w:ascii="宋体" w:cs="宋体"/>
          <w:b/>
          <w:bCs/>
          <w:color w:val="auto"/>
          <w:kern w:val="0"/>
          <w:sz w:val="24"/>
          <w:highlight w:val="none"/>
        </w:rPr>
        <w:t>三、本工程对施工工艺的特殊要求</w:t>
      </w:r>
    </w:p>
    <w:p w14:paraId="4E7E636B">
      <w:pPr>
        <w:widowControl/>
        <w:spacing w:line="440" w:lineRule="exact"/>
        <w:ind w:firstLine="480" w:firstLineChars="200"/>
        <w:rPr>
          <w:rFonts w:ascii="宋体" w:cs="宋体"/>
          <w:color w:val="auto"/>
          <w:kern w:val="0"/>
          <w:sz w:val="24"/>
          <w:highlight w:val="none"/>
        </w:rPr>
      </w:pPr>
      <w:r>
        <w:rPr>
          <w:rFonts w:hint="eastAsia" w:ascii="宋体" w:cs="宋体"/>
          <w:color w:val="auto"/>
          <w:kern w:val="0"/>
          <w:sz w:val="24"/>
          <w:highlight w:val="none"/>
        </w:rPr>
        <w:t>1.施工期间注意周边环境，减少对周围居民、行人的影响（交通、灰尘、噪音等）。</w:t>
      </w:r>
    </w:p>
    <w:p w14:paraId="4E7E636C">
      <w:pPr>
        <w:widowControl/>
        <w:spacing w:line="440" w:lineRule="exact"/>
        <w:ind w:firstLine="480" w:firstLineChars="200"/>
        <w:rPr>
          <w:rFonts w:ascii="宋体" w:cs="宋体"/>
          <w:color w:val="auto"/>
          <w:kern w:val="0"/>
          <w:sz w:val="24"/>
          <w:highlight w:val="none"/>
        </w:rPr>
      </w:pPr>
      <w:r>
        <w:rPr>
          <w:rFonts w:hint="eastAsia" w:ascii="宋体" w:cs="宋体"/>
          <w:color w:val="auto"/>
          <w:kern w:val="0"/>
          <w:sz w:val="24"/>
          <w:highlight w:val="none"/>
        </w:rPr>
        <w:t>2.工程主要部位和特殊要求由相关单位讨论后以书面形式通知承包人实施。</w:t>
      </w:r>
    </w:p>
    <w:p w14:paraId="4E7E636D">
      <w:pPr>
        <w:spacing w:line="360" w:lineRule="auto"/>
        <w:ind w:right="-233" w:rightChars="-111"/>
        <w:rPr>
          <w:rFonts w:ascii="宋体" w:cs="宋体"/>
          <w:color w:val="auto"/>
          <w:sz w:val="24"/>
          <w:highlight w:val="none"/>
        </w:rPr>
      </w:pPr>
    </w:p>
    <w:p w14:paraId="4E7E636E">
      <w:pPr>
        <w:spacing w:line="360" w:lineRule="auto"/>
        <w:ind w:right="-233" w:rightChars="-111"/>
        <w:rPr>
          <w:rFonts w:ascii="宋体" w:cs="宋体"/>
          <w:color w:val="auto"/>
          <w:sz w:val="24"/>
          <w:highlight w:val="none"/>
        </w:rPr>
      </w:pPr>
    </w:p>
    <w:p w14:paraId="4E7E636F">
      <w:pPr>
        <w:spacing w:line="360" w:lineRule="auto"/>
        <w:ind w:right="-233" w:rightChars="-111"/>
        <w:rPr>
          <w:rFonts w:ascii="宋体" w:cs="宋体"/>
          <w:color w:val="auto"/>
          <w:sz w:val="24"/>
          <w:highlight w:val="none"/>
        </w:rPr>
      </w:pPr>
    </w:p>
    <w:p w14:paraId="4E7E6370">
      <w:pPr>
        <w:spacing w:line="360" w:lineRule="auto"/>
        <w:ind w:right="-233" w:rightChars="-111"/>
        <w:rPr>
          <w:rFonts w:ascii="宋体" w:cs="宋体"/>
          <w:color w:val="auto"/>
          <w:sz w:val="24"/>
          <w:highlight w:val="none"/>
        </w:rPr>
      </w:pPr>
    </w:p>
    <w:p w14:paraId="4E7E6371">
      <w:pPr>
        <w:spacing w:line="360" w:lineRule="auto"/>
        <w:ind w:right="-233" w:rightChars="-111"/>
        <w:rPr>
          <w:rFonts w:ascii="宋体" w:cs="宋体"/>
          <w:color w:val="auto"/>
          <w:sz w:val="24"/>
          <w:highlight w:val="none"/>
        </w:rPr>
      </w:pPr>
    </w:p>
    <w:p w14:paraId="4E7E6372">
      <w:pPr>
        <w:spacing w:line="360" w:lineRule="auto"/>
        <w:ind w:right="-233" w:rightChars="-111"/>
        <w:rPr>
          <w:rFonts w:ascii="宋体" w:cs="宋体"/>
          <w:color w:val="auto"/>
          <w:sz w:val="24"/>
          <w:highlight w:val="none"/>
        </w:rPr>
      </w:pPr>
    </w:p>
    <w:p w14:paraId="4E7E6373">
      <w:pPr>
        <w:spacing w:line="360" w:lineRule="auto"/>
        <w:ind w:right="-233" w:rightChars="-111"/>
        <w:rPr>
          <w:rFonts w:ascii="宋体" w:cs="宋体"/>
          <w:color w:val="auto"/>
          <w:sz w:val="24"/>
          <w:highlight w:val="none"/>
        </w:rPr>
      </w:pPr>
    </w:p>
    <w:p w14:paraId="4E7E6374">
      <w:pPr>
        <w:spacing w:line="360" w:lineRule="auto"/>
        <w:ind w:right="-233" w:rightChars="-111"/>
        <w:rPr>
          <w:rFonts w:ascii="宋体" w:cs="宋体"/>
          <w:color w:val="auto"/>
          <w:sz w:val="24"/>
          <w:highlight w:val="none"/>
        </w:rPr>
      </w:pPr>
    </w:p>
    <w:p w14:paraId="4E7E6375">
      <w:pPr>
        <w:spacing w:line="360" w:lineRule="auto"/>
        <w:ind w:right="-233" w:rightChars="-111"/>
        <w:rPr>
          <w:rFonts w:ascii="宋体" w:cs="宋体"/>
          <w:color w:val="auto"/>
          <w:sz w:val="24"/>
          <w:highlight w:val="none"/>
        </w:rPr>
      </w:pPr>
    </w:p>
    <w:p w14:paraId="4E7E6376">
      <w:pPr>
        <w:spacing w:line="360" w:lineRule="auto"/>
        <w:ind w:right="-233" w:rightChars="-111"/>
        <w:rPr>
          <w:rFonts w:ascii="宋体" w:cs="宋体"/>
          <w:color w:val="auto"/>
          <w:sz w:val="24"/>
          <w:highlight w:val="none"/>
        </w:rPr>
      </w:pPr>
    </w:p>
    <w:p w14:paraId="4E7E6377">
      <w:pPr>
        <w:spacing w:line="360" w:lineRule="auto"/>
        <w:ind w:right="-233" w:rightChars="-111"/>
        <w:rPr>
          <w:rFonts w:ascii="宋体" w:cs="宋体"/>
          <w:color w:val="auto"/>
          <w:sz w:val="24"/>
          <w:highlight w:val="none"/>
        </w:rPr>
      </w:pPr>
    </w:p>
    <w:p w14:paraId="4E7E6378">
      <w:pPr>
        <w:spacing w:line="360" w:lineRule="auto"/>
        <w:ind w:right="-233" w:rightChars="-111"/>
        <w:rPr>
          <w:rFonts w:ascii="宋体" w:cs="宋体"/>
          <w:color w:val="auto"/>
          <w:sz w:val="24"/>
          <w:highlight w:val="none"/>
        </w:rPr>
      </w:pPr>
    </w:p>
    <w:p w14:paraId="4E7E6379">
      <w:pPr>
        <w:spacing w:line="360" w:lineRule="auto"/>
        <w:ind w:right="-233" w:rightChars="-111"/>
        <w:rPr>
          <w:rFonts w:ascii="宋体" w:cs="宋体"/>
          <w:color w:val="auto"/>
          <w:sz w:val="24"/>
          <w:highlight w:val="none"/>
        </w:rPr>
      </w:pPr>
    </w:p>
    <w:p w14:paraId="4E7E637A">
      <w:pPr>
        <w:spacing w:line="360" w:lineRule="auto"/>
        <w:ind w:right="-233" w:rightChars="-111"/>
        <w:rPr>
          <w:rFonts w:ascii="宋体" w:cs="宋体"/>
          <w:color w:val="auto"/>
          <w:sz w:val="24"/>
          <w:highlight w:val="none"/>
        </w:rPr>
      </w:pPr>
    </w:p>
    <w:p w14:paraId="4E7E637B">
      <w:pPr>
        <w:spacing w:line="360" w:lineRule="auto"/>
        <w:ind w:right="-233" w:rightChars="-111"/>
        <w:rPr>
          <w:rFonts w:ascii="宋体" w:cs="宋体"/>
          <w:color w:val="auto"/>
          <w:sz w:val="24"/>
          <w:highlight w:val="none"/>
        </w:rPr>
      </w:pPr>
    </w:p>
    <w:p w14:paraId="4E7E637C">
      <w:pPr>
        <w:spacing w:line="360" w:lineRule="auto"/>
        <w:ind w:right="-233" w:rightChars="-111"/>
        <w:rPr>
          <w:rFonts w:ascii="宋体" w:cs="宋体"/>
          <w:color w:val="auto"/>
          <w:sz w:val="24"/>
          <w:highlight w:val="none"/>
        </w:rPr>
      </w:pPr>
    </w:p>
    <w:p w14:paraId="4E7E637D">
      <w:pPr>
        <w:spacing w:line="360" w:lineRule="auto"/>
        <w:ind w:right="-233" w:rightChars="-111"/>
        <w:rPr>
          <w:rFonts w:ascii="宋体" w:cs="宋体"/>
          <w:color w:val="auto"/>
          <w:sz w:val="24"/>
          <w:highlight w:val="none"/>
        </w:rPr>
      </w:pPr>
    </w:p>
    <w:p w14:paraId="4E7E637E">
      <w:pPr>
        <w:spacing w:line="360" w:lineRule="auto"/>
        <w:ind w:right="-233" w:rightChars="-111"/>
        <w:rPr>
          <w:rFonts w:ascii="宋体" w:cs="宋体"/>
          <w:color w:val="auto"/>
          <w:sz w:val="24"/>
          <w:highlight w:val="none"/>
        </w:rPr>
      </w:pPr>
    </w:p>
    <w:p w14:paraId="4E7E637F">
      <w:pPr>
        <w:spacing w:line="360" w:lineRule="auto"/>
        <w:ind w:right="-233" w:rightChars="-111"/>
        <w:rPr>
          <w:rFonts w:ascii="宋体" w:cs="宋体"/>
          <w:color w:val="auto"/>
          <w:sz w:val="24"/>
          <w:highlight w:val="none"/>
        </w:rPr>
      </w:pPr>
    </w:p>
    <w:p w14:paraId="4E7E6380">
      <w:pPr>
        <w:spacing w:line="360" w:lineRule="auto"/>
        <w:ind w:right="-233" w:rightChars="-111"/>
        <w:rPr>
          <w:rFonts w:ascii="宋体" w:cs="宋体"/>
          <w:color w:val="auto"/>
          <w:sz w:val="24"/>
          <w:highlight w:val="none"/>
        </w:rPr>
      </w:pPr>
    </w:p>
    <w:p w14:paraId="4E7E6381">
      <w:pPr>
        <w:spacing w:line="360" w:lineRule="auto"/>
        <w:ind w:right="-233" w:rightChars="-111"/>
        <w:rPr>
          <w:rFonts w:ascii="宋体" w:cs="宋体"/>
          <w:color w:val="auto"/>
          <w:sz w:val="24"/>
          <w:highlight w:val="none"/>
        </w:rPr>
      </w:pPr>
    </w:p>
    <w:p w14:paraId="4E7E6382">
      <w:pPr>
        <w:pStyle w:val="14"/>
        <w:spacing w:line="420" w:lineRule="atLeast"/>
        <w:outlineLvl w:val="0"/>
        <w:rPr>
          <w:rFonts w:ascii="宋体" w:eastAsia="宋体" w:cs="宋体"/>
          <w:color w:val="auto"/>
          <w:sz w:val="32"/>
          <w:highlight w:val="none"/>
        </w:rPr>
      </w:pPr>
      <w:bookmarkStart w:id="37" w:name="_Toc404174020"/>
      <w:bookmarkStart w:id="38" w:name="_Toc286661174"/>
      <w:bookmarkStart w:id="39" w:name="_Toc404159962"/>
    </w:p>
    <w:p w14:paraId="4E7E6383">
      <w:pPr>
        <w:pStyle w:val="14"/>
        <w:spacing w:line="420" w:lineRule="atLeast"/>
        <w:outlineLvl w:val="0"/>
        <w:rPr>
          <w:rFonts w:ascii="宋体" w:eastAsia="宋体" w:cs="宋体"/>
          <w:color w:val="auto"/>
          <w:sz w:val="32"/>
          <w:highlight w:val="none"/>
        </w:rPr>
      </w:pPr>
      <w:r>
        <w:rPr>
          <w:rFonts w:hint="eastAsia" w:ascii="宋体" w:eastAsia="宋体" w:cs="宋体"/>
          <w:color w:val="auto"/>
          <w:sz w:val="32"/>
          <w:highlight w:val="none"/>
        </w:rPr>
        <w:t>第五章 图纸、技术资料及附件</w:t>
      </w:r>
      <w:bookmarkEnd w:id="37"/>
      <w:bookmarkEnd w:id="38"/>
      <w:r>
        <w:rPr>
          <w:rFonts w:hint="eastAsia" w:ascii="宋体" w:eastAsia="宋体" w:cs="宋体"/>
          <w:color w:val="auto"/>
          <w:sz w:val="32"/>
          <w:highlight w:val="none"/>
        </w:rPr>
        <w:t>（无）</w:t>
      </w:r>
    </w:p>
    <w:p w14:paraId="4E7E6384">
      <w:pPr>
        <w:jc w:val="center"/>
        <w:rPr>
          <w:rFonts w:ascii="宋体" w:cs="宋体"/>
          <w:color w:val="auto"/>
          <w:highlight w:val="none"/>
        </w:rPr>
      </w:pPr>
    </w:p>
    <w:bookmarkEnd w:id="39"/>
    <w:p w14:paraId="4E7E6385">
      <w:pPr>
        <w:spacing w:line="360" w:lineRule="auto"/>
        <w:rPr>
          <w:rFonts w:ascii="宋体" w:cs="宋体"/>
          <w:color w:val="auto"/>
          <w:sz w:val="25"/>
          <w:highlight w:val="none"/>
        </w:rPr>
      </w:pPr>
    </w:p>
    <w:p w14:paraId="4E7E6386">
      <w:pPr>
        <w:spacing w:line="500" w:lineRule="exact"/>
        <w:jc w:val="center"/>
        <w:rPr>
          <w:rFonts w:ascii="宋体" w:cs="宋体"/>
          <w:b/>
          <w:color w:val="auto"/>
          <w:sz w:val="32"/>
          <w:szCs w:val="32"/>
          <w:highlight w:val="none"/>
        </w:rPr>
      </w:pPr>
      <w:r>
        <w:rPr>
          <w:rFonts w:hint="eastAsia" w:ascii="宋体" w:cs="宋体"/>
          <w:b/>
          <w:color w:val="auto"/>
          <w:highlight w:val="none"/>
        </w:rPr>
        <w:br w:type="page"/>
      </w:r>
      <w:bookmarkStart w:id="40" w:name="_Toc286661175"/>
      <w:bookmarkStart w:id="41" w:name="_Toc404159963"/>
      <w:bookmarkStart w:id="42" w:name="_Toc404174021"/>
      <w:r>
        <w:rPr>
          <w:rFonts w:hint="eastAsia" w:ascii="宋体" w:cs="宋体"/>
          <w:b/>
          <w:color w:val="auto"/>
          <w:sz w:val="32"/>
          <w:szCs w:val="32"/>
          <w:highlight w:val="none"/>
        </w:rPr>
        <w:t>第六章 投标文件格式</w:t>
      </w:r>
      <w:bookmarkEnd w:id="40"/>
      <w:bookmarkEnd w:id="41"/>
      <w:bookmarkEnd w:id="42"/>
    </w:p>
    <w:p w14:paraId="4E7E6387">
      <w:pPr>
        <w:spacing w:line="500" w:lineRule="exact"/>
        <w:jc w:val="center"/>
        <w:rPr>
          <w:rFonts w:ascii="宋体" w:cs="宋体"/>
          <w:b/>
          <w:bCs/>
          <w:color w:val="auto"/>
          <w:sz w:val="32"/>
          <w:highlight w:val="none"/>
        </w:rPr>
      </w:pPr>
      <w:bookmarkStart w:id="43" w:name="_Toc286661178"/>
      <w:r>
        <w:rPr>
          <w:rFonts w:hint="eastAsia" w:ascii="宋体" w:cs="宋体"/>
          <w:color w:val="auto"/>
          <w:sz w:val="32"/>
          <w:szCs w:val="32"/>
          <w:highlight w:val="none"/>
        </w:rPr>
        <w:t>（封面）</w:t>
      </w:r>
    </w:p>
    <w:p w14:paraId="4E7E6388">
      <w:pPr>
        <w:spacing w:line="500" w:lineRule="exact"/>
        <w:jc w:val="center"/>
        <w:rPr>
          <w:rFonts w:ascii="宋体" w:cs="宋体"/>
          <w:b/>
          <w:bCs/>
          <w:color w:val="auto"/>
          <w:sz w:val="32"/>
          <w:highlight w:val="none"/>
        </w:rPr>
      </w:pPr>
    </w:p>
    <w:p w14:paraId="4E7E6389">
      <w:pPr>
        <w:pStyle w:val="11"/>
        <w:spacing w:line="360" w:lineRule="auto"/>
        <w:ind w:firstLine="480" w:firstLineChars="150"/>
        <w:jc w:val="center"/>
        <w:rPr>
          <w:rFonts w:ascii="宋体" w:cs="宋体"/>
          <w:color w:val="auto"/>
          <w:sz w:val="32"/>
          <w:szCs w:val="32"/>
          <w:highlight w:val="none"/>
        </w:rPr>
      </w:pPr>
      <w:r>
        <w:rPr>
          <w:rFonts w:hint="eastAsia" w:ascii="宋体" w:cs="宋体"/>
          <w:color w:val="auto"/>
          <w:sz w:val="32"/>
          <w:szCs w:val="32"/>
          <w:highlight w:val="none"/>
        </w:rPr>
        <w:t>（项目名称）</w:t>
      </w:r>
    </w:p>
    <w:p w14:paraId="4E7E638A">
      <w:pPr>
        <w:pStyle w:val="11"/>
        <w:spacing w:line="360" w:lineRule="auto"/>
        <w:ind w:firstLine="0"/>
        <w:jc w:val="center"/>
        <w:rPr>
          <w:rFonts w:ascii="宋体" w:cs="宋体"/>
          <w:color w:val="auto"/>
          <w:sz w:val="30"/>
          <w:highlight w:val="none"/>
        </w:rPr>
      </w:pPr>
    </w:p>
    <w:p w14:paraId="4E7E638B">
      <w:pPr>
        <w:pStyle w:val="11"/>
        <w:spacing w:line="360" w:lineRule="auto"/>
        <w:ind w:firstLine="0"/>
        <w:rPr>
          <w:rFonts w:ascii="宋体" w:cs="宋体"/>
          <w:color w:val="auto"/>
          <w:sz w:val="30"/>
          <w:highlight w:val="none"/>
        </w:rPr>
      </w:pPr>
    </w:p>
    <w:p w14:paraId="4E7E638C">
      <w:pPr>
        <w:pStyle w:val="11"/>
        <w:spacing w:line="360" w:lineRule="auto"/>
        <w:ind w:firstLine="0"/>
        <w:jc w:val="center"/>
        <w:rPr>
          <w:rFonts w:ascii="宋体" w:cs="宋体"/>
          <w:b/>
          <w:bCs/>
          <w:color w:val="auto"/>
          <w:spacing w:val="60"/>
          <w:sz w:val="84"/>
          <w:szCs w:val="84"/>
          <w:highlight w:val="none"/>
        </w:rPr>
      </w:pPr>
      <w:r>
        <w:rPr>
          <w:rFonts w:hint="eastAsia" w:ascii="宋体" w:cs="宋体"/>
          <w:b/>
          <w:bCs/>
          <w:color w:val="auto"/>
          <w:spacing w:val="60"/>
          <w:sz w:val="84"/>
          <w:szCs w:val="84"/>
          <w:highlight w:val="none"/>
        </w:rPr>
        <w:t xml:space="preserve"> 投标书</w:t>
      </w:r>
    </w:p>
    <w:p w14:paraId="4E7E638D">
      <w:pPr>
        <w:pStyle w:val="11"/>
        <w:spacing w:line="360" w:lineRule="auto"/>
        <w:ind w:firstLine="0"/>
        <w:jc w:val="center"/>
        <w:rPr>
          <w:rFonts w:ascii="宋体" w:cs="宋体"/>
          <w:color w:val="auto"/>
          <w:sz w:val="48"/>
          <w:szCs w:val="48"/>
          <w:highlight w:val="none"/>
        </w:rPr>
      </w:pPr>
      <w:r>
        <w:rPr>
          <w:rFonts w:hint="eastAsia" w:ascii="宋体" w:cs="宋体"/>
          <w:color w:val="auto"/>
          <w:sz w:val="48"/>
          <w:szCs w:val="48"/>
          <w:highlight w:val="none"/>
        </w:rPr>
        <w:t>（商务标）</w:t>
      </w:r>
    </w:p>
    <w:p w14:paraId="4E7E638E">
      <w:pPr>
        <w:pStyle w:val="11"/>
        <w:spacing w:line="360" w:lineRule="auto"/>
        <w:ind w:firstLine="0"/>
        <w:jc w:val="center"/>
        <w:rPr>
          <w:rFonts w:ascii="宋体" w:cs="宋体"/>
          <w:color w:val="auto"/>
          <w:sz w:val="30"/>
          <w:highlight w:val="none"/>
        </w:rPr>
      </w:pPr>
    </w:p>
    <w:p w14:paraId="4E7E638F">
      <w:pPr>
        <w:pStyle w:val="11"/>
        <w:spacing w:line="360" w:lineRule="auto"/>
        <w:ind w:firstLine="0"/>
        <w:jc w:val="center"/>
        <w:rPr>
          <w:rFonts w:ascii="宋体" w:cs="宋体"/>
          <w:color w:val="auto"/>
          <w:sz w:val="30"/>
          <w:highlight w:val="none"/>
        </w:rPr>
      </w:pPr>
    </w:p>
    <w:p w14:paraId="4E7E6390">
      <w:pPr>
        <w:pStyle w:val="11"/>
        <w:spacing w:line="360" w:lineRule="auto"/>
        <w:ind w:firstLine="0"/>
        <w:jc w:val="center"/>
        <w:rPr>
          <w:rFonts w:ascii="宋体" w:cs="宋体"/>
          <w:color w:val="auto"/>
          <w:sz w:val="30"/>
          <w:highlight w:val="none"/>
        </w:rPr>
      </w:pPr>
    </w:p>
    <w:p w14:paraId="4E7E6391">
      <w:pPr>
        <w:pStyle w:val="11"/>
        <w:spacing w:line="360" w:lineRule="auto"/>
        <w:ind w:firstLine="0"/>
        <w:jc w:val="center"/>
        <w:rPr>
          <w:rFonts w:ascii="宋体" w:cs="宋体"/>
          <w:color w:val="auto"/>
          <w:sz w:val="30"/>
          <w:highlight w:val="none"/>
        </w:rPr>
      </w:pPr>
    </w:p>
    <w:p w14:paraId="4E7E6392">
      <w:pPr>
        <w:pStyle w:val="11"/>
        <w:spacing w:line="360" w:lineRule="auto"/>
        <w:ind w:firstLine="480" w:firstLineChars="160"/>
        <w:rPr>
          <w:rFonts w:ascii="宋体" w:cs="宋体"/>
          <w:color w:val="auto"/>
          <w:sz w:val="30"/>
          <w:highlight w:val="none"/>
          <w:u w:val="single"/>
        </w:rPr>
      </w:pPr>
      <w:r>
        <w:rPr>
          <w:rFonts w:hint="eastAsia" w:ascii="宋体" w:cs="宋体"/>
          <w:color w:val="auto"/>
          <w:sz w:val="30"/>
          <w:highlight w:val="none"/>
        </w:rPr>
        <w:t>投标人：（盖单位公章）</w:t>
      </w:r>
    </w:p>
    <w:p w14:paraId="4E7E6393">
      <w:pPr>
        <w:pStyle w:val="11"/>
        <w:spacing w:line="360" w:lineRule="auto"/>
        <w:ind w:firstLine="480" w:firstLineChars="160"/>
        <w:rPr>
          <w:rFonts w:ascii="宋体" w:cs="宋体"/>
          <w:color w:val="auto"/>
          <w:sz w:val="30"/>
          <w:highlight w:val="none"/>
        </w:rPr>
      </w:pPr>
    </w:p>
    <w:p w14:paraId="4E7E6394">
      <w:pPr>
        <w:pStyle w:val="11"/>
        <w:spacing w:line="360" w:lineRule="auto"/>
        <w:ind w:firstLine="480" w:firstLineChars="160"/>
        <w:rPr>
          <w:rFonts w:ascii="宋体" w:cs="宋体"/>
          <w:color w:val="auto"/>
          <w:sz w:val="30"/>
          <w:highlight w:val="none"/>
          <w:u w:val="single"/>
        </w:rPr>
      </w:pPr>
      <w:r>
        <w:rPr>
          <w:rFonts w:hint="eastAsia" w:ascii="宋体" w:cs="宋体"/>
          <w:color w:val="auto"/>
          <w:sz w:val="30"/>
          <w:highlight w:val="none"/>
        </w:rPr>
        <w:t>法定代表人或其委托代理人：（签字或盖章）</w:t>
      </w:r>
    </w:p>
    <w:p w14:paraId="4E7E6395">
      <w:pPr>
        <w:pStyle w:val="11"/>
        <w:spacing w:line="360" w:lineRule="auto"/>
        <w:ind w:firstLine="480" w:firstLineChars="160"/>
        <w:rPr>
          <w:rFonts w:ascii="宋体" w:cs="宋体"/>
          <w:color w:val="auto"/>
          <w:sz w:val="30"/>
          <w:highlight w:val="none"/>
        </w:rPr>
      </w:pPr>
    </w:p>
    <w:p w14:paraId="4E7E6396">
      <w:pPr>
        <w:pStyle w:val="11"/>
        <w:spacing w:line="360" w:lineRule="auto"/>
        <w:ind w:firstLine="600" w:firstLineChars="200"/>
        <w:rPr>
          <w:rFonts w:ascii="宋体" w:cs="宋体"/>
          <w:color w:val="auto"/>
          <w:sz w:val="30"/>
          <w:highlight w:val="none"/>
          <w:u w:val="single"/>
        </w:rPr>
      </w:pPr>
      <w:r>
        <w:rPr>
          <w:rFonts w:hint="eastAsia" w:ascii="宋体" w:cs="宋体"/>
          <w:color w:val="auto"/>
          <w:sz w:val="30"/>
          <w:highlight w:val="none"/>
        </w:rPr>
        <w:t>日   期：</w:t>
      </w:r>
      <w:r>
        <w:rPr>
          <w:rFonts w:hint="eastAsia" w:ascii="宋体" w:cs="宋体"/>
          <w:color w:val="auto"/>
          <w:sz w:val="30"/>
          <w:highlight w:val="none"/>
          <w:u w:val="single"/>
        </w:rPr>
        <w:t xml:space="preserve">        年     月     日</w:t>
      </w:r>
    </w:p>
    <w:p w14:paraId="4E7E6397">
      <w:pPr>
        <w:pStyle w:val="11"/>
        <w:spacing w:line="360" w:lineRule="auto"/>
        <w:ind w:firstLine="0"/>
        <w:jc w:val="center"/>
        <w:rPr>
          <w:rFonts w:ascii="宋体" w:cs="宋体"/>
          <w:color w:val="auto"/>
          <w:sz w:val="30"/>
          <w:highlight w:val="none"/>
        </w:rPr>
      </w:pPr>
    </w:p>
    <w:p w14:paraId="4E7E6398">
      <w:pPr>
        <w:pStyle w:val="11"/>
        <w:spacing w:line="360" w:lineRule="auto"/>
        <w:ind w:firstLine="0"/>
        <w:jc w:val="center"/>
        <w:rPr>
          <w:rFonts w:ascii="宋体" w:cs="宋体"/>
          <w:color w:val="auto"/>
          <w:sz w:val="30"/>
          <w:highlight w:val="none"/>
        </w:rPr>
      </w:pPr>
    </w:p>
    <w:p w14:paraId="4E7E6399">
      <w:pPr>
        <w:pStyle w:val="11"/>
        <w:spacing w:line="360" w:lineRule="auto"/>
        <w:ind w:firstLine="0"/>
        <w:jc w:val="center"/>
        <w:rPr>
          <w:rFonts w:ascii="宋体" w:cs="宋体"/>
          <w:color w:val="auto"/>
          <w:sz w:val="30"/>
          <w:highlight w:val="none"/>
        </w:rPr>
      </w:pPr>
    </w:p>
    <w:p w14:paraId="4E7E639A">
      <w:pPr>
        <w:pStyle w:val="11"/>
        <w:spacing w:line="360" w:lineRule="auto"/>
        <w:ind w:firstLine="0"/>
        <w:jc w:val="center"/>
        <w:rPr>
          <w:rFonts w:ascii="宋体" w:cs="宋体"/>
          <w:color w:val="auto"/>
          <w:sz w:val="30"/>
          <w:highlight w:val="none"/>
        </w:rPr>
      </w:pPr>
    </w:p>
    <w:p w14:paraId="4E7E639B">
      <w:pPr>
        <w:pStyle w:val="11"/>
        <w:spacing w:line="360" w:lineRule="auto"/>
        <w:ind w:firstLine="0"/>
        <w:jc w:val="center"/>
        <w:rPr>
          <w:rFonts w:ascii="宋体" w:cs="宋体"/>
          <w:color w:val="auto"/>
          <w:sz w:val="30"/>
          <w:highlight w:val="none"/>
        </w:rPr>
      </w:pPr>
    </w:p>
    <w:p w14:paraId="4E7E639C">
      <w:pPr>
        <w:pStyle w:val="11"/>
        <w:spacing w:line="360" w:lineRule="auto"/>
        <w:ind w:firstLine="0"/>
        <w:jc w:val="center"/>
        <w:outlineLvl w:val="1"/>
        <w:rPr>
          <w:rFonts w:ascii="宋体" w:cs="宋体"/>
          <w:b/>
          <w:bCs/>
          <w:color w:val="auto"/>
          <w:sz w:val="28"/>
          <w:szCs w:val="28"/>
          <w:highlight w:val="none"/>
        </w:rPr>
      </w:pPr>
      <w:r>
        <w:rPr>
          <w:rFonts w:hint="eastAsia" w:ascii="宋体" w:cs="宋体"/>
          <w:b/>
          <w:color w:val="auto"/>
          <w:sz w:val="28"/>
          <w:szCs w:val="28"/>
          <w:highlight w:val="none"/>
        </w:rPr>
        <w:t>一、</w:t>
      </w:r>
      <w:bookmarkEnd w:id="43"/>
      <w:r>
        <w:rPr>
          <w:rFonts w:hint="eastAsia" w:ascii="宋体" w:cs="宋体"/>
          <w:b/>
          <w:bCs/>
          <w:color w:val="auto"/>
          <w:sz w:val="28"/>
          <w:szCs w:val="28"/>
          <w:highlight w:val="none"/>
        </w:rPr>
        <w:t>投  标  函</w:t>
      </w:r>
    </w:p>
    <w:p w14:paraId="4E7E639D">
      <w:pPr>
        <w:pStyle w:val="11"/>
        <w:spacing w:line="360" w:lineRule="auto"/>
        <w:ind w:firstLine="0"/>
        <w:rPr>
          <w:rFonts w:ascii="宋体" w:cs="宋体"/>
          <w:color w:val="auto"/>
          <w:sz w:val="25"/>
          <w:highlight w:val="none"/>
          <w:u w:val="single"/>
        </w:rPr>
      </w:pPr>
    </w:p>
    <w:p w14:paraId="4E7E639E">
      <w:pPr>
        <w:pStyle w:val="11"/>
        <w:spacing w:line="360" w:lineRule="auto"/>
        <w:ind w:firstLine="0"/>
        <w:rPr>
          <w:rFonts w:ascii="宋体" w:cs="宋体"/>
          <w:color w:val="auto"/>
          <w:highlight w:val="none"/>
        </w:rPr>
      </w:pPr>
      <w:r>
        <w:rPr>
          <w:rFonts w:hint="eastAsia" w:ascii="宋体" w:cs="宋体"/>
          <w:color w:val="auto"/>
          <w:highlight w:val="none"/>
        </w:rPr>
        <w:t>江苏商贸职业学院：</w:t>
      </w:r>
    </w:p>
    <w:p w14:paraId="4E7E639F">
      <w:pPr>
        <w:pStyle w:val="11"/>
        <w:spacing w:line="360" w:lineRule="auto"/>
        <w:ind w:firstLine="480" w:firstLineChars="200"/>
        <w:jc w:val="left"/>
        <w:rPr>
          <w:rFonts w:ascii="宋体" w:cs="宋体"/>
          <w:color w:val="auto"/>
          <w:highlight w:val="none"/>
        </w:rPr>
      </w:pPr>
      <w:r>
        <w:rPr>
          <w:rFonts w:hint="eastAsia" w:ascii="宋体" w:cs="宋体"/>
          <w:color w:val="auto"/>
          <w:highlight w:val="none"/>
        </w:rPr>
        <w:t>（一） 根据已收到的（工程名称</w:t>
      </w:r>
      <w:r>
        <w:rPr>
          <w:rFonts w:hint="eastAsia" w:ascii="宋体" w:cs="宋体"/>
          <w:color w:val="auto"/>
          <w:highlight w:val="none"/>
          <w:u w:val="single"/>
        </w:rPr>
        <w:t xml:space="preserve">） </w:t>
      </w:r>
      <w:r>
        <w:rPr>
          <w:rFonts w:ascii="宋体" w:cs="宋体"/>
          <w:color w:val="auto"/>
          <w:highlight w:val="none"/>
          <w:u w:val="single"/>
        </w:rPr>
        <w:t xml:space="preserve">    </w:t>
      </w:r>
      <w:r>
        <w:rPr>
          <w:rFonts w:hint="eastAsia" w:ascii="宋体" w:cs="宋体"/>
          <w:color w:val="auto"/>
          <w:highlight w:val="none"/>
          <w:u w:val="single"/>
        </w:rPr>
        <w:t xml:space="preserve"> </w:t>
      </w:r>
      <w:r>
        <w:rPr>
          <w:rFonts w:hint="eastAsia" w:ascii="宋体" w:cs="宋体"/>
          <w:color w:val="auto"/>
          <w:highlight w:val="none"/>
        </w:rPr>
        <w:t>工程的招标文件，我方经仔细研究招标文件全部内容并对现场进行踏勘后，愿遵守《中华人民共和国招标投标法》等有关法律文件的规定，并愿以</w:t>
      </w:r>
      <w:r>
        <w:rPr>
          <w:rFonts w:hint="eastAsia" w:ascii="宋体" w:cs="宋体"/>
          <w:color w:val="auto"/>
          <w:highlight w:val="none"/>
          <w:u w:val="single"/>
        </w:rPr>
        <w:t xml:space="preserve">             </w:t>
      </w:r>
      <w:r>
        <w:rPr>
          <w:rFonts w:hint="eastAsia" w:ascii="宋体" w:cs="宋体"/>
          <w:color w:val="auto"/>
          <w:highlight w:val="none"/>
        </w:rPr>
        <w:t>%的下浮率，按招标文件的要求承包本次招标范围内的全部工程，修补工程中的任何缺陷。</w:t>
      </w:r>
    </w:p>
    <w:p w14:paraId="4E7E63A0">
      <w:pPr>
        <w:pStyle w:val="11"/>
        <w:spacing w:line="360" w:lineRule="auto"/>
        <w:ind w:firstLine="480" w:firstLineChars="200"/>
        <w:jc w:val="left"/>
        <w:rPr>
          <w:rFonts w:ascii="宋体" w:cs="宋体"/>
          <w:color w:val="auto"/>
          <w:highlight w:val="none"/>
        </w:rPr>
      </w:pPr>
      <w:r>
        <w:rPr>
          <w:rFonts w:hint="eastAsia" w:ascii="宋体" w:cs="宋体"/>
          <w:color w:val="auto"/>
          <w:highlight w:val="none"/>
        </w:rPr>
        <w:t>（二） 我方保证在收到贵方发出的书面开工令后立即开工，并在贵方要求的时间内竣工。</w:t>
      </w:r>
    </w:p>
    <w:p w14:paraId="4E7E63A1">
      <w:pPr>
        <w:widowControl/>
        <w:spacing w:line="360" w:lineRule="auto"/>
        <w:ind w:firstLine="480" w:firstLineChars="200"/>
        <w:jc w:val="left"/>
        <w:rPr>
          <w:rFonts w:ascii="宋体" w:cs="宋体"/>
          <w:color w:val="auto"/>
          <w:sz w:val="24"/>
          <w:highlight w:val="none"/>
        </w:rPr>
      </w:pPr>
      <w:r>
        <w:rPr>
          <w:rFonts w:hint="eastAsia" w:ascii="宋体" w:cs="宋体"/>
          <w:color w:val="auto"/>
          <w:sz w:val="24"/>
          <w:highlight w:val="none"/>
        </w:rPr>
        <w:t>（三） 我方保证本工程质量达到</w:t>
      </w:r>
      <w:r>
        <w:rPr>
          <w:rFonts w:hint="eastAsia" w:ascii="宋体" w:cs="宋体"/>
          <w:color w:val="auto"/>
          <w:sz w:val="24"/>
          <w:highlight w:val="none"/>
          <w:u w:val="single"/>
        </w:rPr>
        <w:t xml:space="preserve">           </w:t>
      </w:r>
      <w:r>
        <w:rPr>
          <w:rFonts w:hint="eastAsia" w:ascii="宋体" w:cs="宋体"/>
          <w:color w:val="auto"/>
          <w:sz w:val="24"/>
          <w:highlight w:val="none"/>
        </w:rPr>
        <w:t>。</w:t>
      </w:r>
    </w:p>
    <w:p w14:paraId="4E7E63A2">
      <w:pPr>
        <w:pStyle w:val="11"/>
        <w:widowControl/>
        <w:adjustRightInd/>
        <w:spacing w:line="360" w:lineRule="auto"/>
        <w:ind w:firstLine="480" w:firstLineChars="200"/>
        <w:jc w:val="left"/>
        <w:textAlignment w:val="auto"/>
        <w:rPr>
          <w:rFonts w:ascii="宋体" w:cs="宋体"/>
          <w:color w:val="auto"/>
          <w:highlight w:val="none"/>
        </w:rPr>
      </w:pPr>
      <w:r>
        <w:rPr>
          <w:rFonts w:hint="eastAsia" w:ascii="宋体" w:cs="宋体"/>
          <w:color w:val="auto"/>
          <w:highlight w:val="none"/>
        </w:rPr>
        <w:t>（四） 如我方中标，我方承诺：出现故障时，我方在接到报修电话后一小时内必须到场。</w:t>
      </w:r>
    </w:p>
    <w:p w14:paraId="4E7E63A3">
      <w:pPr>
        <w:pStyle w:val="11"/>
        <w:widowControl/>
        <w:adjustRightInd/>
        <w:spacing w:line="360" w:lineRule="auto"/>
        <w:ind w:firstLine="480" w:firstLineChars="200"/>
        <w:jc w:val="left"/>
        <w:textAlignment w:val="auto"/>
        <w:rPr>
          <w:rFonts w:ascii="宋体" w:cs="宋体"/>
          <w:color w:val="auto"/>
          <w:highlight w:val="none"/>
        </w:rPr>
      </w:pPr>
      <w:r>
        <w:rPr>
          <w:rFonts w:hint="eastAsia" w:ascii="宋体" w:cs="宋体"/>
          <w:color w:val="auto"/>
          <w:highlight w:val="none"/>
        </w:rPr>
        <w:t>（五） 如果我方中标，我方承诺在收到中标通知书后，在中标通知书规定的期限内与贵方签订合同，并将按照招标文件规定的时间、数额提交履约保证金。</w:t>
      </w:r>
    </w:p>
    <w:p w14:paraId="4E7E63A4">
      <w:pPr>
        <w:pStyle w:val="11"/>
        <w:spacing w:line="360" w:lineRule="auto"/>
        <w:ind w:firstLine="480" w:firstLineChars="200"/>
        <w:rPr>
          <w:rFonts w:ascii="宋体" w:cs="宋体"/>
          <w:color w:val="auto"/>
          <w:highlight w:val="none"/>
        </w:rPr>
      </w:pPr>
      <w:r>
        <w:rPr>
          <w:rFonts w:hint="eastAsia" w:ascii="宋体" w:cs="宋体"/>
          <w:color w:val="auto"/>
          <w:highlight w:val="none"/>
        </w:rPr>
        <w:t>（六） 贵方的招标文件、中标通知书和本投标文件将构成约束我们双方的合同。</w:t>
      </w:r>
    </w:p>
    <w:p w14:paraId="4E7E63A5">
      <w:pPr>
        <w:pStyle w:val="11"/>
        <w:spacing w:line="360" w:lineRule="auto"/>
        <w:ind w:firstLine="0"/>
        <w:rPr>
          <w:rFonts w:ascii="宋体" w:cs="宋体"/>
          <w:color w:val="auto"/>
          <w:highlight w:val="none"/>
        </w:rPr>
      </w:pPr>
    </w:p>
    <w:p w14:paraId="4E7E63A6">
      <w:pPr>
        <w:pStyle w:val="11"/>
        <w:spacing w:line="360" w:lineRule="auto"/>
        <w:ind w:firstLine="0"/>
        <w:rPr>
          <w:rFonts w:ascii="宋体" w:cs="宋体"/>
          <w:color w:val="auto"/>
          <w:highlight w:val="none"/>
          <w:u w:val="single"/>
        </w:rPr>
      </w:pPr>
      <w:r>
        <w:rPr>
          <w:rFonts w:hint="eastAsia" w:ascii="宋体" w:cs="宋体"/>
          <w:color w:val="auto"/>
          <w:highlight w:val="none"/>
        </w:rPr>
        <w:t>投标人（盖单位公章）：</w:t>
      </w:r>
    </w:p>
    <w:p w14:paraId="4E7E63A7">
      <w:pPr>
        <w:pStyle w:val="11"/>
        <w:spacing w:line="360" w:lineRule="auto"/>
        <w:ind w:firstLine="0"/>
        <w:rPr>
          <w:rFonts w:ascii="宋体" w:cs="宋体"/>
          <w:color w:val="auto"/>
          <w:highlight w:val="none"/>
          <w:u w:val="single"/>
        </w:rPr>
      </w:pPr>
      <w:r>
        <w:rPr>
          <w:rFonts w:hint="eastAsia" w:ascii="宋体" w:cs="宋体"/>
          <w:color w:val="auto"/>
          <w:highlight w:val="none"/>
        </w:rPr>
        <w:t>法定代表人或委托代理人（签字或盖章）：</w:t>
      </w:r>
    </w:p>
    <w:p w14:paraId="4E7E63A8">
      <w:pPr>
        <w:pStyle w:val="11"/>
        <w:spacing w:line="360" w:lineRule="auto"/>
        <w:ind w:right="480" w:firstLine="0"/>
        <w:rPr>
          <w:rFonts w:ascii="宋体" w:cs="宋体"/>
          <w:color w:val="auto"/>
          <w:highlight w:val="none"/>
        </w:rPr>
      </w:pPr>
      <w:r>
        <w:rPr>
          <w:rFonts w:hint="eastAsia" w:ascii="宋体" w:cs="宋体"/>
          <w:color w:val="auto"/>
          <w:highlight w:val="none"/>
        </w:rPr>
        <w:t>日期：</w:t>
      </w:r>
    </w:p>
    <w:p w14:paraId="4E7E63A9">
      <w:pPr>
        <w:pStyle w:val="76"/>
        <w:spacing w:line="420" w:lineRule="atLeast"/>
        <w:rPr>
          <w:rFonts w:ascii="宋体" w:cs="宋体"/>
          <w:color w:val="auto"/>
          <w:sz w:val="32"/>
          <w:highlight w:val="none"/>
        </w:rPr>
      </w:pPr>
    </w:p>
    <w:p w14:paraId="4E7E63AA">
      <w:pPr>
        <w:spacing w:line="360" w:lineRule="auto"/>
        <w:jc w:val="center"/>
        <w:outlineLvl w:val="2"/>
        <w:rPr>
          <w:rFonts w:ascii="宋体" w:cs="宋体"/>
          <w:b/>
          <w:color w:val="auto"/>
          <w:sz w:val="28"/>
          <w:szCs w:val="28"/>
          <w:highlight w:val="none"/>
        </w:rPr>
      </w:pPr>
      <w:r>
        <w:rPr>
          <w:rFonts w:hint="eastAsia" w:ascii="宋体" w:cs="宋体"/>
          <w:color w:val="auto"/>
          <w:sz w:val="32"/>
          <w:highlight w:val="none"/>
        </w:rPr>
        <w:br w:type="page"/>
      </w:r>
    </w:p>
    <w:p w14:paraId="4E7E63AB">
      <w:pPr>
        <w:pStyle w:val="76"/>
        <w:spacing w:line="420" w:lineRule="atLeast"/>
        <w:rPr>
          <w:rFonts w:ascii="宋体" w:cs="宋体"/>
          <w:b/>
          <w:color w:val="auto"/>
          <w:kern w:val="2"/>
          <w:sz w:val="28"/>
          <w:szCs w:val="28"/>
          <w:highlight w:val="none"/>
        </w:rPr>
      </w:pPr>
      <w:r>
        <w:rPr>
          <w:rFonts w:hint="eastAsia" w:ascii="宋体" w:cs="宋体"/>
          <w:b/>
          <w:color w:val="auto"/>
          <w:kern w:val="2"/>
          <w:sz w:val="28"/>
          <w:szCs w:val="28"/>
          <w:highlight w:val="none"/>
        </w:rPr>
        <w:t>二、计划投入的主要施工机械设备表</w:t>
      </w:r>
    </w:p>
    <w:tbl>
      <w:tblPr>
        <w:tblStyle w:val="35"/>
        <w:tblW w:w="970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8"/>
        <w:gridCol w:w="1700"/>
        <w:gridCol w:w="700"/>
        <w:gridCol w:w="700"/>
        <w:gridCol w:w="900"/>
        <w:gridCol w:w="900"/>
        <w:gridCol w:w="1100"/>
        <w:gridCol w:w="1100"/>
        <w:gridCol w:w="2100"/>
      </w:tblGrid>
      <w:tr w14:paraId="4E7E6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8" w:type="dxa"/>
            <w:tcBorders>
              <w:top w:val="single" w:color="auto" w:sz="12" w:space="0"/>
              <w:left w:val="single" w:color="auto" w:sz="12" w:space="0"/>
              <w:bottom w:val="single" w:color="auto" w:sz="6" w:space="0"/>
              <w:right w:val="single" w:color="auto" w:sz="6" w:space="0"/>
            </w:tcBorders>
          </w:tcPr>
          <w:p w14:paraId="4E7E63AC">
            <w:pPr>
              <w:adjustRightInd w:val="0"/>
              <w:jc w:val="center"/>
              <w:textAlignment w:val="baseline"/>
              <w:rPr>
                <w:rFonts w:ascii="宋体" w:hAnsi="宋体"/>
                <w:color w:val="auto"/>
                <w:position w:val="-32"/>
                <w:sz w:val="24"/>
                <w:highlight w:val="none"/>
              </w:rPr>
            </w:pPr>
            <w:r>
              <w:rPr>
                <w:rFonts w:hint="eastAsia" w:ascii="宋体" w:hAnsi="宋体"/>
                <w:color w:val="auto"/>
                <w:position w:val="-32"/>
                <w:sz w:val="24"/>
                <w:highlight w:val="none"/>
              </w:rPr>
              <w:t>序号</w:t>
            </w:r>
          </w:p>
        </w:tc>
        <w:tc>
          <w:tcPr>
            <w:tcW w:w="1700" w:type="dxa"/>
            <w:tcBorders>
              <w:top w:val="single" w:color="auto" w:sz="12" w:space="0"/>
              <w:left w:val="single" w:color="auto" w:sz="6" w:space="0"/>
              <w:bottom w:val="single" w:color="auto" w:sz="6" w:space="0"/>
              <w:right w:val="single" w:color="auto" w:sz="6" w:space="0"/>
            </w:tcBorders>
          </w:tcPr>
          <w:p w14:paraId="4E7E63AD">
            <w:pPr>
              <w:adjustRightInd w:val="0"/>
              <w:jc w:val="center"/>
              <w:textAlignment w:val="baseline"/>
              <w:rPr>
                <w:rFonts w:ascii="宋体" w:hAnsi="宋体"/>
                <w:color w:val="auto"/>
                <w:position w:val="-50"/>
                <w:sz w:val="24"/>
                <w:highlight w:val="none"/>
              </w:rPr>
            </w:pPr>
            <w:r>
              <w:rPr>
                <w:rFonts w:hint="eastAsia" w:ascii="宋体" w:hAnsi="宋体"/>
                <w:color w:val="auto"/>
                <w:position w:val="-50"/>
                <w:sz w:val="24"/>
                <w:highlight w:val="none"/>
              </w:rPr>
              <w:t>机械设备名称</w:t>
            </w:r>
          </w:p>
        </w:tc>
        <w:tc>
          <w:tcPr>
            <w:tcW w:w="700" w:type="dxa"/>
            <w:tcBorders>
              <w:top w:val="single" w:color="auto" w:sz="12" w:space="0"/>
              <w:left w:val="single" w:color="auto" w:sz="6" w:space="0"/>
              <w:bottom w:val="single" w:color="auto" w:sz="6" w:space="0"/>
              <w:right w:val="single" w:color="auto" w:sz="6" w:space="0"/>
            </w:tcBorders>
          </w:tcPr>
          <w:p w14:paraId="4E7E63AE">
            <w:pPr>
              <w:adjustRightInd w:val="0"/>
              <w:jc w:val="center"/>
              <w:textAlignment w:val="baseline"/>
              <w:rPr>
                <w:rFonts w:ascii="宋体" w:hAnsi="宋体"/>
                <w:color w:val="auto"/>
                <w:position w:val="-30"/>
                <w:sz w:val="24"/>
                <w:highlight w:val="none"/>
              </w:rPr>
            </w:pPr>
            <w:r>
              <w:rPr>
                <w:rFonts w:hint="eastAsia" w:ascii="宋体" w:hAnsi="宋体"/>
                <w:color w:val="auto"/>
                <w:position w:val="-30"/>
                <w:sz w:val="24"/>
                <w:highlight w:val="none"/>
              </w:rPr>
              <w:t>型号规格</w:t>
            </w:r>
          </w:p>
        </w:tc>
        <w:tc>
          <w:tcPr>
            <w:tcW w:w="700" w:type="dxa"/>
            <w:tcBorders>
              <w:top w:val="single" w:color="auto" w:sz="12" w:space="0"/>
              <w:left w:val="single" w:color="auto" w:sz="6" w:space="0"/>
              <w:bottom w:val="single" w:color="auto" w:sz="6" w:space="0"/>
              <w:right w:val="single" w:color="auto" w:sz="6" w:space="0"/>
            </w:tcBorders>
          </w:tcPr>
          <w:p w14:paraId="4E7E63AF">
            <w:pPr>
              <w:adjustRightInd w:val="0"/>
              <w:jc w:val="center"/>
              <w:textAlignment w:val="baseline"/>
              <w:rPr>
                <w:rFonts w:ascii="宋体" w:hAnsi="宋体"/>
                <w:color w:val="auto"/>
                <w:position w:val="-50"/>
                <w:sz w:val="24"/>
                <w:highlight w:val="none"/>
              </w:rPr>
            </w:pPr>
            <w:r>
              <w:rPr>
                <w:rFonts w:hint="eastAsia" w:ascii="宋体" w:hAnsi="宋体"/>
                <w:color w:val="auto"/>
                <w:position w:val="-50"/>
                <w:sz w:val="24"/>
                <w:highlight w:val="none"/>
              </w:rPr>
              <w:t>数量</w:t>
            </w:r>
          </w:p>
        </w:tc>
        <w:tc>
          <w:tcPr>
            <w:tcW w:w="900" w:type="dxa"/>
            <w:tcBorders>
              <w:top w:val="single" w:color="auto" w:sz="12" w:space="0"/>
              <w:left w:val="single" w:color="auto" w:sz="6" w:space="0"/>
              <w:bottom w:val="single" w:color="auto" w:sz="6" w:space="0"/>
              <w:right w:val="single" w:color="auto" w:sz="6" w:space="0"/>
            </w:tcBorders>
          </w:tcPr>
          <w:p w14:paraId="4E7E63B0">
            <w:pPr>
              <w:adjustRightInd w:val="0"/>
              <w:jc w:val="center"/>
              <w:textAlignment w:val="baseline"/>
              <w:rPr>
                <w:rFonts w:ascii="宋体" w:hAnsi="宋体"/>
                <w:color w:val="auto"/>
                <w:position w:val="-30"/>
                <w:sz w:val="24"/>
                <w:highlight w:val="none"/>
              </w:rPr>
            </w:pPr>
            <w:r>
              <w:rPr>
                <w:rFonts w:hint="eastAsia" w:ascii="宋体" w:hAnsi="宋体"/>
                <w:color w:val="auto"/>
                <w:position w:val="-30"/>
                <w:sz w:val="24"/>
                <w:highlight w:val="none"/>
              </w:rPr>
              <w:t>国 别</w:t>
            </w:r>
          </w:p>
          <w:p w14:paraId="4E7E63B1">
            <w:pPr>
              <w:adjustRightInd w:val="0"/>
              <w:jc w:val="center"/>
              <w:textAlignment w:val="baseline"/>
              <w:rPr>
                <w:rFonts w:ascii="宋体" w:hAnsi="宋体"/>
                <w:color w:val="auto"/>
                <w:position w:val="-30"/>
                <w:sz w:val="24"/>
                <w:highlight w:val="none"/>
              </w:rPr>
            </w:pPr>
            <w:r>
              <w:rPr>
                <w:rFonts w:hint="eastAsia" w:ascii="宋体" w:hAnsi="宋体"/>
                <w:color w:val="auto"/>
                <w:position w:val="-30"/>
                <w:sz w:val="24"/>
                <w:highlight w:val="none"/>
              </w:rPr>
              <w:t>产 地</w:t>
            </w:r>
          </w:p>
        </w:tc>
        <w:tc>
          <w:tcPr>
            <w:tcW w:w="900" w:type="dxa"/>
            <w:tcBorders>
              <w:top w:val="single" w:color="auto" w:sz="12" w:space="0"/>
              <w:left w:val="single" w:color="auto" w:sz="6" w:space="0"/>
              <w:bottom w:val="single" w:color="auto" w:sz="6" w:space="0"/>
              <w:right w:val="single" w:color="auto" w:sz="6" w:space="0"/>
            </w:tcBorders>
          </w:tcPr>
          <w:p w14:paraId="4E7E63B2">
            <w:pPr>
              <w:adjustRightInd w:val="0"/>
              <w:jc w:val="center"/>
              <w:textAlignment w:val="baseline"/>
              <w:rPr>
                <w:rFonts w:ascii="宋体" w:hAnsi="宋体"/>
                <w:color w:val="auto"/>
                <w:position w:val="-30"/>
                <w:sz w:val="24"/>
                <w:highlight w:val="none"/>
              </w:rPr>
            </w:pPr>
            <w:r>
              <w:rPr>
                <w:rFonts w:hint="eastAsia" w:ascii="宋体" w:hAnsi="宋体"/>
                <w:color w:val="auto"/>
                <w:position w:val="-30"/>
                <w:sz w:val="24"/>
                <w:highlight w:val="none"/>
              </w:rPr>
              <w:t>制 造</w:t>
            </w:r>
          </w:p>
          <w:p w14:paraId="4E7E63B3">
            <w:pPr>
              <w:adjustRightInd w:val="0"/>
              <w:jc w:val="center"/>
              <w:textAlignment w:val="baseline"/>
              <w:rPr>
                <w:rFonts w:ascii="宋体" w:hAnsi="宋体"/>
                <w:color w:val="auto"/>
                <w:position w:val="-30"/>
                <w:sz w:val="24"/>
                <w:highlight w:val="none"/>
              </w:rPr>
            </w:pPr>
            <w:r>
              <w:rPr>
                <w:rFonts w:hint="eastAsia" w:ascii="宋体" w:hAnsi="宋体"/>
                <w:color w:val="auto"/>
                <w:position w:val="-30"/>
                <w:sz w:val="24"/>
                <w:highlight w:val="none"/>
              </w:rPr>
              <w:t>年 份</w:t>
            </w:r>
          </w:p>
        </w:tc>
        <w:tc>
          <w:tcPr>
            <w:tcW w:w="1100" w:type="dxa"/>
            <w:tcBorders>
              <w:top w:val="single" w:color="auto" w:sz="12" w:space="0"/>
              <w:left w:val="single" w:color="auto" w:sz="6" w:space="0"/>
              <w:bottom w:val="single" w:color="auto" w:sz="6" w:space="0"/>
              <w:right w:val="single" w:color="auto" w:sz="6" w:space="0"/>
            </w:tcBorders>
          </w:tcPr>
          <w:p w14:paraId="4E7E63B4">
            <w:pPr>
              <w:adjustRightInd w:val="0"/>
              <w:jc w:val="center"/>
              <w:textAlignment w:val="baseline"/>
              <w:rPr>
                <w:rFonts w:ascii="宋体" w:hAnsi="宋体"/>
                <w:color w:val="auto"/>
                <w:position w:val="-30"/>
                <w:sz w:val="24"/>
                <w:highlight w:val="none"/>
              </w:rPr>
            </w:pPr>
            <w:r>
              <w:rPr>
                <w:rFonts w:hint="eastAsia" w:ascii="宋体" w:hAnsi="宋体"/>
                <w:color w:val="auto"/>
                <w:position w:val="-30"/>
                <w:sz w:val="24"/>
                <w:highlight w:val="none"/>
              </w:rPr>
              <w:t>额定功率(KW)</w:t>
            </w:r>
          </w:p>
        </w:tc>
        <w:tc>
          <w:tcPr>
            <w:tcW w:w="1100" w:type="dxa"/>
            <w:tcBorders>
              <w:top w:val="single" w:color="auto" w:sz="12" w:space="0"/>
              <w:left w:val="single" w:color="auto" w:sz="6" w:space="0"/>
              <w:bottom w:val="single" w:color="auto" w:sz="6" w:space="0"/>
              <w:right w:val="single" w:color="auto" w:sz="6" w:space="0"/>
            </w:tcBorders>
          </w:tcPr>
          <w:p w14:paraId="4E7E63B5">
            <w:pPr>
              <w:adjustRightInd w:val="0"/>
              <w:jc w:val="center"/>
              <w:textAlignment w:val="baseline"/>
              <w:rPr>
                <w:rFonts w:ascii="宋体" w:hAnsi="宋体"/>
                <w:color w:val="auto"/>
                <w:position w:val="-30"/>
                <w:sz w:val="24"/>
                <w:highlight w:val="none"/>
              </w:rPr>
            </w:pPr>
            <w:r>
              <w:rPr>
                <w:rFonts w:hint="eastAsia" w:ascii="宋体" w:hAnsi="宋体"/>
                <w:color w:val="auto"/>
                <w:position w:val="-30"/>
                <w:sz w:val="24"/>
                <w:highlight w:val="none"/>
              </w:rPr>
              <w:t>生产能力(MH)</w:t>
            </w:r>
          </w:p>
        </w:tc>
        <w:tc>
          <w:tcPr>
            <w:tcW w:w="2100" w:type="dxa"/>
            <w:tcBorders>
              <w:top w:val="single" w:color="auto" w:sz="12" w:space="0"/>
              <w:left w:val="single" w:color="auto" w:sz="6" w:space="0"/>
              <w:bottom w:val="single" w:color="auto" w:sz="6" w:space="0"/>
              <w:right w:val="single" w:color="auto" w:sz="12" w:space="0"/>
            </w:tcBorders>
          </w:tcPr>
          <w:p w14:paraId="4E7E63B6">
            <w:pPr>
              <w:adjustRightInd w:val="0"/>
              <w:jc w:val="center"/>
              <w:textAlignment w:val="baseline"/>
              <w:rPr>
                <w:rFonts w:ascii="宋体" w:hAnsi="宋体"/>
                <w:color w:val="auto"/>
                <w:position w:val="-50"/>
                <w:sz w:val="24"/>
                <w:highlight w:val="none"/>
              </w:rPr>
            </w:pPr>
            <w:r>
              <w:rPr>
                <w:rFonts w:hint="eastAsia" w:ascii="宋体" w:hAnsi="宋体"/>
                <w:color w:val="auto"/>
                <w:position w:val="-50"/>
                <w:sz w:val="24"/>
                <w:highlight w:val="none"/>
              </w:rPr>
              <w:t>备注</w:t>
            </w:r>
          </w:p>
        </w:tc>
      </w:tr>
      <w:tr w14:paraId="4E7E63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3B8">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3B9">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BA">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BB">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BC">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BD">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BE">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BF">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3C0">
            <w:pPr>
              <w:adjustRightInd w:val="0"/>
              <w:spacing w:line="360" w:lineRule="auto"/>
              <w:textAlignment w:val="baseline"/>
              <w:rPr>
                <w:rFonts w:ascii="宋体" w:hAnsi="宋体"/>
                <w:color w:val="auto"/>
                <w:sz w:val="25"/>
                <w:highlight w:val="none"/>
              </w:rPr>
            </w:pPr>
          </w:p>
        </w:tc>
      </w:tr>
      <w:tr w14:paraId="4E7E63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3C2">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3C3">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C4">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C5">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C6">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C7">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C8">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C9">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3CA">
            <w:pPr>
              <w:adjustRightInd w:val="0"/>
              <w:spacing w:line="360" w:lineRule="auto"/>
              <w:textAlignment w:val="baseline"/>
              <w:rPr>
                <w:rFonts w:ascii="宋体" w:hAnsi="宋体"/>
                <w:color w:val="auto"/>
                <w:sz w:val="25"/>
                <w:highlight w:val="none"/>
              </w:rPr>
            </w:pPr>
          </w:p>
        </w:tc>
      </w:tr>
      <w:tr w14:paraId="4E7E63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3CC">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3CD">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CE">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CF">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D0">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D1">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D2">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D3">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3D4">
            <w:pPr>
              <w:adjustRightInd w:val="0"/>
              <w:spacing w:line="360" w:lineRule="auto"/>
              <w:textAlignment w:val="baseline"/>
              <w:rPr>
                <w:rFonts w:ascii="宋体" w:hAnsi="宋体"/>
                <w:color w:val="auto"/>
                <w:sz w:val="25"/>
                <w:highlight w:val="none"/>
              </w:rPr>
            </w:pPr>
          </w:p>
        </w:tc>
      </w:tr>
      <w:tr w14:paraId="4E7E63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3D6">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3D7">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D8">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D9">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DA">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DB">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DC">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DD">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3DE">
            <w:pPr>
              <w:adjustRightInd w:val="0"/>
              <w:spacing w:line="360" w:lineRule="auto"/>
              <w:textAlignment w:val="baseline"/>
              <w:rPr>
                <w:rFonts w:ascii="宋体" w:hAnsi="宋体"/>
                <w:color w:val="auto"/>
                <w:sz w:val="25"/>
                <w:highlight w:val="none"/>
              </w:rPr>
            </w:pPr>
          </w:p>
        </w:tc>
      </w:tr>
      <w:tr w14:paraId="4E7E6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3E0">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3E1">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E2">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E3">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E4">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E5">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E6">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E7">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3E8">
            <w:pPr>
              <w:adjustRightInd w:val="0"/>
              <w:spacing w:line="360" w:lineRule="auto"/>
              <w:textAlignment w:val="baseline"/>
              <w:rPr>
                <w:rFonts w:ascii="宋体" w:hAnsi="宋体"/>
                <w:color w:val="auto"/>
                <w:sz w:val="25"/>
                <w:highlight w:val="none"/>
              </w:rPr>
            </w:pPr>
          </w:p>
        </w:tc>
      </w:tr>
      <w:tr w14:paraId="4E7E6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3EA">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3EB">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EC">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ED">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EE">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EF">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F0">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F1">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3F2">
            <w:pPr>
              <w:adjustRightInd w:val="0"/>
              <w:spacing w:line="360" w:lineRule="auto"/>
              <w:textAlignment w:val="baseline"/>
              <w:rPr>
                <w:rFonts w:ascii="宋体" w:hAnsi="宋体"/>
                <w:color w:val="auto"/>
                <w:sz w:val="25"/>
                <w:highlight w:val="none"/>
              </w:rPr>
            </w:pPr>
          </w:p>
        </w:tc>
      </w:tr>
      <w:tr w14:paraId="4E7E63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3F4">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3F5">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F6">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3F7">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F8">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3F9">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FA">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3FB">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3FC">
            <w:pPr>
              <w:adjustRightInd w:val="0"/>
              <w:spacing w:line="360" w:lineRule="auto"/>
              <w:textAlignment w:val="baseline"/>
              <w:rPr>
                <w:rFonts w:ascii="宋体" w:hAnsi="宋体"/>
                <w:color w:val="auto"/>
                <w:sz w:val="25"/>
                <w:highlight w:val="none"/>
              </w:rPr>
            </w:pPr>
          </w:p>
        </w:tc>
      </w:tr>
      <w:tr w14:paraId="4E7E6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3FE">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3FF">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00">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01">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02">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03">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04">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05">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06">
            <w:pPr>
              <w:adjustRightInd w:val="0"/>
              <w:spacing w:line="360" w:lineRule="auto"/>
              <w:textAlignment w:val="baseline"/>
              <w:rPr>
                <w:rFonts w:ascii="宋体" w:hAnsi="宋体"/>
                <w:color w:val="auto"/>
                <w:sz w:val="25"/>
                <w:highlight w:val="none"/>
              </w:rPr>
            </w:pPr>
          </w:p>
        </w:tc>
      </w:tr>
      <w:tr w14:paraId="4E7E64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08">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09">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0A">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0B">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0C">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0D">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0E">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0F">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10">
            <w:pPr>
              <w:adjustRightInd w:val="0"/>
              <w:spacing w:line="360" w:lineRule="auto"/>
              <w:textAlignment w:val="baseline"/>
              <w:rPr>
                <w:rFonts w:ascii="宋体" w:hAnsi="宋体"/>
                <w:color w:val="auto"/>
                <w:sz w:val="25"/>
                <w:highlight w:val="none"/>
              </w:rPr>
            </w:pPr>
          </w:p>
        </w:tc>
      </w:tr>
      <w:tr w14:paraId="4E7E6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12">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13">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14">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15">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16">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17">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18">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19">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1A">
            <w:pPr>
              <w:adjustRightInd w:val="0"/>
              <w:spacing w:line="360" w:lineRule="auto"/>
              <w:textAlignment w:val="baseline"/>
              <w:rPr>
                <w:rFonts w:ascii="宋体" w:hAnsi="宋体"/>
                <w:color w:val="auto"/>
                <w:sz w:val="25"/>
                <w:highlight w:val="none"/>
              </w:rPr>
            </w:pPr>
          </w:p>
        </w:tc>
      </w:tr>
      <w:tr w14:paraId="4E7E6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1C">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1D">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1E">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1F">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20">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21">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22">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23">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24">
            <w:pPr>
              <w:adjustRightInd w:val="0"/>
              <w:spacing w:line="360" w:lineRule="auto"/>
              <w:textAlignment w:val="baseline"/>
              <w:rPr>
                <w:rFonts w:ascii="宋体" w:hAnsi="宋体"/>
                <w:color w:val="auto"/>
                <w:sz w:val="25"/>
                <w:highlight w:val="none"/>
              </w:rPr>
            </w:pPr>
          </w:p>
        </w:tc>
      </w:tr>
      <w:tr w14:paraId="4E7E6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26">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27">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28">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29">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2A">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2B">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2C">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2D">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2E">
            <w:pPr>
              <w:adjustRightInd w:val="0"/>
              <w:spacing w:line="360" w:lineRule="auto"/>
              <w:textAlignment w:val="baseline"/>
              <w:rPr>
                <w:rFonts w:ascii="宋体" w:hAnsi="宋体"/>
                <w:color w:val="auto"/>
                <w:sz w:val="25"/>
                <w:highlight w:val="none"/>
              </w:rPr>
            </w:pPr>
          </w:p>
        </w:tc>
      </w:tr>
      <w:tr w14:paraId="4E7E6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30">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31">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32">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33">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34">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35">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36">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37">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38">
            <w:pPr>
              <w:adjustRightInd w:val="0"/>
              <w:spacing w:line="360" w:lineRule="auto"/>
              <w:textAlignment w:val="baseline"/>
              <w:rPr>
                <w:rFonts w:ascii="宋体" w:hAnsi="宋体"/>
                <w:color w:val="auto"/>
                <w:sz w:val="25"/>
                <w:highlight w:val="none"/>
              </w:rPr>
            </w:pPr>
          </w:p>
        </w:tc>
      </w:tr>
      <w:tr w14:paraId="4E7E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3A">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3B">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3C">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3D">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3E">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3F">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40">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41">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42">
            <w:pPr>
              <w:adjustRightInd w:val="0"/>
              <w:spacing w:line="360" w:lineRule="auto"/>
              <w:textAlignment w:val="baseline"/>
              <w:rPr>
                <w:rFonts w:ascii="宋体" w:hAnsi="宋体"/>
                <w:color w:val="auto"/>
                <w:sz w:val="25"/>
                <w:highlight w:val="none"/>
              </w:rPr>
            </w:pPr>
          </w:p>
        </w:tc>
      </w:tr>
      <w:tr w14:paraId="4E7E6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44">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45">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46">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47">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48">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49">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4A">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4B">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4C">
            <w:pPr>
              <w:adjustRightInd w:val="0"/>
              <w:spacing w:line="360" w:lineRule="auto"/>
              <w:textAlignment w:val="baseline"/>
              <w:rPr>
                <w:rFonts w:ascii="宋体" w:hAnsi="宋体"/>
                <w:color w:val="auto"/>
                <w:sz w:val="25"/>
                <w:highlight w:val="none"/>
              </w:rPr>
            </w:pPr>
          </w:p>
        </w:tc>
      </w:tr>
      <w:tr w14:paraId="4E7E6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4E">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4F">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50">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51">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52">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53">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54">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55">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56">
            <w:pPr>
              <w:adjustRightInd w:val="0"/>
              <w:spacing w:line="360" w:lineRule="auto"/>
              <w:textAlignment w:val="baseline"/>
              <w:rPr>
                <w:rFonts w:ascii="宋体" w:hAnsi="宋体"/>
                <w:color w:val="auto"/>
                <w:sz w:val="25"/>
                <w:highlight w:val="none"/>
              </w:rPr>
            </w:pPr>
          </w:p>
        </w:tc>
      </w:tr>
      <w:tr w14:paraId="4E7E64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6" w:space="0"/>
              <w:right w:val="single" w:color="auto" w:sz="6" w:space="0"/>
            </w:tcBorders>
          </w:tcPr>
          <w:p w14:paraId="4E7E6458">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6" w:space="0"/>
              <w:right w:val="single" w:color="auto" w:sz="6" w:space="0"/>
            </w:tcBorders>
          </w:tcPr>
          <w:p w14:paraId="4E7E6459">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5A">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6" w:space="0"/>
              <w:right w:val="single" w:color="auto" w:sz="6" w:space="0"/>
            </w:tcBorders>
          </w:tcPr>
          <w:p w14:paraId="4E7E645B">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5C">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6" w:space="0"/>
              <w:right w:val="single" w:color="auto" w:sz="6" w:space="0"/>
            </w:tcBorders>
          </w:tcPr>
          <w:p w14:paraId="4E7E645D">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5E">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6" w:space="0"/>
              <w:right w:val="single" w:color="auto" w:sz="6" w:space="0"/>
            </w:tcBorders>
          </w:tcPr>
          <w:p w14:paraId="4E7E645F">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6" w:space="0"/>
              <w:right w:val="single" w:color="auto" w:sz="12" w:space="0"/>
            </w:tcBorders>
          </w:tcPr>
          <w:p w14:paraId="4E7E6460">
            <w:pPr>
              <w:adjustRightInd w:val="0"/>
              <w:spacing w:line="360" w:lineRule="auto"/>
              <w:textAlignment w:val="baseline"/>
              <w:rPr>
                <w:rFonts w:ascii="宋体" w:hAnsi="宋体"/>
                <w:color w:val="auto"/>
                <w:sz w:val="25"/>
                <w:highlight w:val="none"/>
              </w:rPr>
            </w:pPr>
          </w:p>
        </w:tc>
      </w:tr>
      <w:tr w14:paraId="4E7E6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508" w:type="dxa"/>
            <w:tcBorders>
              <w:top w:val="single" w:color="auto" w:sz="6" w:space="0"/>
              <w:left w:val="single" w:color="auto" w:sz="12" w:space="0"/>
              <w:bottom w:val="single" w:color="auto" w:sz="12" w:space="0"/>
              <w:right w:val="single" w:color="auto" w:sz="6" w:space="0"/>
            </w:tcBorders>
          </w:tcPr>
          <w:p w14:paraId="4E7E6462">
            <w:pPr>
              <w:adjustRightInd w:val="0"/>
              <w:spacing w:line="360" w:lineRule="auto"/>
              <w:textAlignment w:val="baseline"/>
              <w:rPr>
                <w:rFonts w:ascii="宋体" w:hAnsi="宋体"/>
                <w:color w:val="auto"/>
                <w:sz w:val="25"/>
                <w:highlight w:val="none"/>
              </w:rPr>
            </w:pPr>
          </w:p>
        </w:tc>
        <w:tc>
          <w:tcPr>
            <w:tcW w:w="1700" w:type="dxa"/>
            <w:tcBorders>
              <w:top w:val="single" w:color="auto" w:sz="6" w:space="0"/>
              <w:left w:val="single" w:color="auto" w:sz="6" w:space="0"/>
              <w:bottom w:val="single" w:color="auto" w:sz="12" w:space="0"/>
              <w:right w:val="single" w:color="auto" w:sz="6" w:space="0"/>
            </w:tcBorders>
          </w:tcPr>
          <w:p w14:paraId="4E7E6463">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12" w:space="0"/>
              <w:right w:val="single" w:color="auto" w:sz="6" w:space="0"/>
            </w:tcBorders>
          </w:tcPr>
          <w:p w14:paraId="4E7E6464">
            <w:pPr>
              <w:adjustRightInd w:val="0"/>
              <w:spacing w:line="360" w:lineRule="auto"/>
              <w:textAlignment w:val="baseline"/>
              <w:rPr>
                <w:rFonts w:ascii="宋体" w:hAnsi="宋体"/>
                <w:color w:val="auto"/>
                <w:sz w:val="25"/>
                <w:highlight w:val="none"/>
              </w:rPr>
            </w:pPr>
          </w:p>
        </w:tc>
        <w:tc>
          <w:tcPr>
            <w:tcW w:w="700" w:type="dxa"/>
            <w:tcBorders>
              <w:top w:val="single" w:color="auto" w:sz="6" w:space="0"/>
              <w:left w:val="single" w:color="auto" w:sz="6" w:space="0"/>
              <w:bottom w:val="single" w:color="auto" w:sz="12" w:space="0"/>
              <w:right w:val="single" w:color="auto" w:sz="6" w:space="0"/>
            </w:tcBorders>
          </w:tcPr>
          <w:p w14:paraId="4E7E6465">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12" w:space="0"/>
              <w:right w:val="single" w:color="auto" w:sz="6" w:space="0"/>
            </w:tcBorders>
          </w:tcPr>
          <w:p w14:paraId="4E7E6466">
            <w:pPr>
              <w:adjustRightInd w:val="0"/>
              <w:spacing w:line="360" w:lineRule="auto"/>
              <w:textAlignment w:val="baseline"/>
              <w:rPr>
                <w:rFonts w:ascii="宋体" w:hAnsi="宋体"/>
                <w:color w:val="auto"/>
                <w:sz w:val="25"/>
                <w:highlight w:val="none"/>
              </w:rPr>
            </w:pPr>
          </w:p>
        </w:tc>
        <w:tc>
          <w:tcPr>
            <w:tcW w:w="900" w:type="dxa"/>
            <w:tcBorders>
              <w:top w:val="single" w:color="auto" w:sz="6" w:space="0"/>
              <w:left w:val="single" w:color="auto" w:sz="6" w:space="0"/>
              <w:bottom w:val="single" w:color="auto" w:sz="12" w:space="0"/>
              <w:right w:val="single" w:color="auto" w:sz="6" w:space="0"/>
            </w:tcBorders>
          </w:tcPr>
          <w:p w14:paraId="4E7E6467">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12" w:space="0"/>
              <w:right w:val="single" w:color="auto" w:sz="6" w:space="0"/>
            </w:tcBorders>
          </w:tcPr>
          <w:p w14:paraId="4E7E6468">
            <w:pPr>
              <w:adjustRightInd w:val="0"/>
              <w:spacing w:line="360" w:lineRule="auto"/>
              <w:textAlignment w:val="baseline"/>
              <w:rPr>
                <w:rFonts w:ascii="宋体" w:hAnsi="宋体"/>
                <w:color w:val="auto"/>
                <w:sz w:val="25"/>
                <w:highlight w:val="none"/>
              </w:rPr>
            </w:pPr>
          </w:p>
        </w:tc>
        <w:tc>
          <w:tcPr>
            <w:tcW w:w="1100" w:type="dxa"/>
            <w:tcBorders>
              <w:top w:val="single" w:color="auto" w:sz="6" w:space="0"/>
              <w:left w:val="single" w:color="auto" w:sz="6" w:space="0"/>
              <w:bottom w:val="single" w:color="auto" w:sz="12" w:space="0"/>
              <w:right w:val="single" w:color="auto" w:sz="6" w:space="0"/>
            </w:tcBorders>
          </w:tcPr>
          <w:p w14:paraId="4E7E6469">
            <w:pPr>
              <w:adjustRightInd w:val="0"/>
              <w:spacing w:line="360" w:lineRule="auto"/>
              <w:textAlignment w:val="baseline"/>
              <w:rPr>
                <w:rFonts w:ascii="宋体" w:hAnsi="宋体"/>
                <w:color w:val="auto"/>
                <w:sz w:val="25"/>
                <w:highlight w:val="none"/>
              </w:rPr>
            </w:pPr>
          </w:p>
        </w:tc>
        <w:tc>
          <w:tcPr>
            <w:tcW w:w="2100" w:type="dxa"/>
            <w:tcBorders>
              <w:top w:val="single" w:color="auto" w:sz="6" w:space="0"/>
              <w:left w:val="single" w:color="auto" w:sz="6" w:space="0"/>
              <w:bottom w:val="single" w:color="auto" w:sz="12" w:space="0"/>
              <w:right w:val="single" w:color="auto" w:sz="12" w:space="0"/>
            </w:tcBorders>
          </w:tcPr>
          <w:p w14:paraId="4E7E646A">
            <w:pPr>
              <w:adjustRightInd w:val="0"/>
              <w:spacing w:line="360" w:lineRule="auto"/>
              <w:textAlignment w:val="baseline"/>
              <w:rPr>
                <w:rFonts w:ascii="宋体" w:hAnsi="宋体"/>
                <w:color w:val="auto"/>
                <w:sz w:val="25"/>
                <w:highlight w:val="none"/>
              </w:rPr>
            </w:pPr>
          </w:p>
        </w:tc>
      </w:tr>
    </w:tbl>
    <w:p w14:paraId="4E7E646C">
      <w:pPr>
        <w:adjustRightInd w:val="0"/>
        <w:spacing w:after="284" w:line="420" w:lineRule="atLeast"/>
        <w:jc w:val="center"/>
        <w:textAlignment w:val="baseline"/>
        <w:rPr>
          <w:rFonts w:ascii="宋体" w:hAnsi="宋体"/>
          <w:color w:val="auto"/>
          <w:kern w:val="0"/>
          <w:sz w:val="32"/>
          <w:szCs w:val="20"/>
          <w:highlight w:val="none"/>
        </w:rPr>
      </w:pPr>
    </w:p>
    <w:p w14:paraId="4E7E646D">
      <w:pPr>
        <w:spacing w:line="360" w:lineRule="auto"/>
        <w:jc w:val="center"/>
        <w:outlineLvl w:val="2"/>
        <w:rPr>
          <w:rFonts w:ascii="宋体" w:cs="宋体"/>
          <w:b/>
          <w:color w:val="auto"/>
          <w:sz w:val="28"/>
          <w:szCs w:val="28"/>
          <w:highlight w:val="none"/>
        </w:rPr>
      </w:pPr>
    </w:p>
    <w:p w14:paraId="4E7E646E">
      <w:pPr>
        <w:pStyle w:val="11"/>
        <w:snapToGrid w:val="0"/>
        <w:spacing w:line="440" w:lineRule="exact"/>
        <w:ind w:firstLine="0"/>
        <w:jc w:val="center"/>
        <w:outlineLvl w:val="1"/>
        <w:rPr>
          <w:rFonts w:ascii="宋体" w:cs="宋体"/>
          <w:b/>
          <w:color w:val="auto"/>
          <w:kern w:val="2"/>
          <w:sz w:val="28"/>
          <w:szCs w:val="28"/>
          <w:highlight w:val="none"/>
        </w:rPr>
      </w:pPr>
    </w:p>
    <w:p w14:paraId="4E7E646F">
      <w:pPr>
        <w:pStyle w:val="11"/>
        <w:snapToGrid w:val="0"/>
        <w:spacing w:line="440" w:lineRule="exact"/>
        <w:ind w:firstLine="0"/>
        <w:jc w:val="center"/>
        <w:outlineLvl w:val="1"/>
        <w:rPr>
          <w:rFonts w:ascii="宋体" w:cs="宋体"/>
          <w:b/>
          <w:color w:val="auto"/>
          <w:kern w:val="2"/>
          <w:sz w:val="28"/>
          <w:szCs w:val="28"/>
          <w:highlight w:val="none"/>
        </w:rPr>
      </w:pPr>
    </w:p>
    <w:p w14:paraId="4E7E6470">
      <w:pPr>
        <w:pStyle w:val="11"/>
        <w:snapToGrid w:val="0"/>
        <w:spacing w:line="440" w:lineRule="exact"/>
        <w:ind w:firstLine="0"/>
        <w:jc w:val="center"/>
        <w:outlineLvl w:val="1"/>
        <w:rPr>
          <w:rFonts w:ascii="宋体" w:cs="宋体"/>
          <w:b/>
          <w:color w:val="auto"/>
          <w:kern w:val="2"/>
          <w:sz w:val="28"/>
          <w:szCs w:val="28"/>
          <w:highlight w:val="none"/>
        </w:rPr>
      </w:pPr>
    </w:p>
    <w:p w14:paraId="4E7E6471">
      <w:pPr>
        <w:pStyle w:val="11"/>
        <w:snapToGrid w:val="0"/>
        <w:spacing w:line="440" w:lineRule="exact"/>
        <w:ind w:firstLine="0"/>
        <w:jc w:val="center"/>
        <w:outlineLvl w:val="1"/>
        <w:rPr>
          <w:rFonts w:ascii="宋体" w:cs="宋体"/>
          <w:b/>
          <w:color w:val="auto"/>
          <w:kern w:val="2"/>
          <w:sz w:val="28"/>
          <w:szCs w:val="28"/>
          <w:highlight w:val="none"/>
        </w:rPr>
      </w:pPr>
    </w:p>
    <w:p w14:paraId="4E7E6472">
      <w:pPr>
        <w:pStyle w:val="11"/>
        <w:snapToGrid w:val="0"/>
        <w:spacing w:line="440" w:lineRule="exact"/>
        <w:ind w:firstLine="0"/>
        <w:jc w:val="center"/>
        <w:outlineLvl w:val="1"/>
        <w:rPr>
          <w:rFonts w:ascii="宋体" w:cs="宋体"/>
          <w:b/>
          <w:color w:val="auto"/>
          <w:kern w:val="2"/>
          <w:sz w:val="28"/>
          <w:szCs w:val="28"/>
          <w:highlight w:val="none"/>
        </w:rPr>
      </w:pPr>
      <w:r>
        <w:rPr>
          <w:rFonts w:hint="eastAsia" w:ascii="宋体" w:cs="宋体"/>
          <w:b/>
          <w:color w:val="auto"/>
          <w:kern w:val="2"/>
          <w:sz w:val="28"/>
          <w:szCs w:val="28"/>
          <w:highlight w:val="none"/>
        </w:rPr>
        <w:t>三、主要施工管理人员表</w:t>
      </w:r>
    </w:p>
    <w:p w14:paraId="4E7E6473">
      <w:pPr>
        <w:pStyle w:val="11"/>
        <w:spacing w:line="360" w:lineRule="auto"/>
        <w:ind w:firstLine="0"/>
        <w:jc w:val="center"/>
        <w:rPr>
          <w:rFonts w:ascii="宋体" w:cs="宋体"/>
          <w:color w:val="auto"/>
          <w:sz w:val="25"/>
          <w:highlight w:val="none"/>
        </w:rPr>
      </w:pP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500"/>
        <w:gridCol w:w="799"/>
        <w:gridCol w:w="800"/>
        <w:gridCol w:w="800"/>
        <w:gridCol w:w="3700"/>
      </w:tblGrid>
      <w:tr w14:paraId="4E7E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tcPr>
          <w:p w14:paraId="4E7E6474">
            <w:pPr>
              <w:spacing w:line="420" w:lineRule="atLeast"/>
              <w:rPr>
                <w:rFonts w:ascii="宋体" w:cs="宋体"/>
                <w:color w:val="auto"/>
                <w:kern w:val="0"/>
                <w:sz w:val="24"/>
                <w:highlight w:val="none"/>
              </w:rPr>
            </w:pPr>
            <w:r>
              <w:rPr>
                <w:rFonts w:hint="eastAsia" w:ascii="宋体" w:cs="宋体"/>
                <w:color w:val="auto"/>
                <w:kern w:val="0"/>
                <w:sz w:val="24"/>
                <w:highlight w:val="none"/>
              </w:rPr>
              <w:t>机构</w:t>
            </w:r>
          </w:p>
        </w:tc>
        <w:tc>
          <w:tcPr>
            <w:tcW w:w="1500" w:type="dxa"/>
          </w:tcPr>
          <w:p w14:paraId="4E7E6475">
            <w:pPr>
              <w:spacing w:line="420" w:lineRule="atLeast"/>
              <w:rPr>
                <w:rFonts w:ascii="宋体" w:cs="宋体"/>
                <w:color w:val="auto"/>
                <w:kern w:val="0"/>
                <w:sz w:val="24"/>
                <w:highlight w:val="none"/>
              </w:rPr>
            </w:pPr>
            <w:r>
              <w:rPr>
                <w:rFonts w:hint="eastAsia" w:ascii="宋体" w:cs="宋体"/>
                <w:color w:val="auto"/>
                <w:kern w:val="0"/>
                <w:sz w:val="24"/>
                <w:highlight w:val="none"/>
              </w:rPr>
              <w:t>项目工程师</w:t>
            </w:r>
          </w:p>
        </w:tc>
        <w:tc>
          <w:tcPr>
            <w:tcW w:w="799" w:type="dxa"/>
          </w:tcPr>
          <w:p w14:paraId="4E7E6476">
            <w:pPr>
              <w:spacing w:line="420" w:lineRule="atLeast"/>
              <w:rPr>
                <w:rFonts w:ascii="宋体" w:cs="宋体"/>
                <w:color w:val="auto"/>
                <w:kern w:val="0"/>
                <w:sz w:val="24"/>
                <w:highlight w:val="none"/>
              </w:rPr>
            </w:pPr>
            <w:r>
              <w:rPr>
                <w:rFonts w:hint="eastAsia" w:ascii="宋体" w:cs="宋体"/>
                <w:color w:val="auto"/>
                <w:kern w:val="0"/>
                <w:sz w:val="24"/>
                <w:highlight w:val="none"/>
              </w:rPr>
              <w:t>姓名</w:t>
            </w:r>
          </w:p>
        </w:tc>
        <w:tc>
          <w:tcPr>
            <w:tcW w:w="800" w:type="dxa"/>
          </w:tcPr>
          <w:p w14:paraId="4E7E6477">
            <w:pPr>
              <w:spacing w:line="420" w:lineRule="atLeast"/>
              <w:rPr>
                <w:rFonts w:ascii="宋体" w:cs="宋体"/>
                <w:color w:val="auto"/>
                <w:kern w:val="0"/>
                <w:sz w:val="24"/>
                <w:highlight w:val="none"/>
              </w:rPr>
            </w:pPr>
            <w:r>
              <w:rPr>
                <w:rFonts w:hint="eastAsia" w:ascii="宋体" w:cs="宋体"/>
                <w:color w:val="auto"/>
                <w:kern w:val="0"/>
                <w:sz w:val="24"/>
                <w:highlight w:val="none"/>
              </w:rPr>
              <w:t>职务</w:t>
            </w:r>
          </w:p>
        </w:tc>
        <w:tc>
          <w:tcPr>
            <w:tcW w:w="800" w:type="dxa"/>
          </w:tcPr>
          <w:p w14:paraId="4E7E6478">
            <w:pPr>
              <w:spacing w:line="420" w:lineRule="atLeast"/>
              <w:rPr>
                <w:rFonts w:ascii="宋体" w:cs="宋体"/>
                <w:color w:val="auto"/>
                <w:kern w:val="0"/>
                <w:sz w:val="24"/>
                <w:highlight w:val="none"/>
              </w:rPr>
            </w:pPr>
            <w:r>
              <w:rPr>
                <w:rFonts w:hint="eastAsia" w:ascii="宋体" w:cs="宋体"/>
                <w:color w:val="auto"/>
                <w:kern w:val="0"/>
                <w:sz w:val="24"/>
                <w:highlight w:val="none"/>
              </w:rPr>
              <w:t>职称</w:t>
            </w:r>
          </w:p>
        </w:tc>
        <w:tc>
          <w:tcPr>
            <w:tcW w:w="3700" w:type="dxa"/>
          </w:tcPr>
          <w:p w14:paraId="4E7E6479">
            <w:pPr>
              <w:spacing w:line="420" w:lineRule="atLeast"/>
              <w:rPr>
                <w:rFonts w:ascii="宋体" w:cs="宋体"/>
                <w:color w:val="auto"/>
                <w:kern w:val="0"/>
                <w:sz w:val="24"/>
                <w:highlight w:val="none"/>
              </w:rPr>
            </w:pPr>
            <w:r>
              <w:rPr>
                <w:rFonts w:hint="eastAsia" w:ascii="宋体" w:cs="宋体"/>
                <w:color w:val="auto"/>
                <w:kern w:val="0"/>
                <w:sz w:val="24"/>
                <w:highlight w:val="none"/>
              </w:rPr>
              <w:t>主要资历、经验及承担过的工程</w:t>
            </w:r>
          </w:p>
        </w:tc>
      </w:tr>
      <w:tr w14:paraId="4E7E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restart"/>
          </w:tcPr>
          <w:p w14:paraId="4E7E647B">
            <w:pPr>
              <w:spacing w:line="420" w:lineRule="atLeast"/>
              <w:rPr>
                <w:rFonts w:ascii="宋体" w:cs="宋体"/>
                <w:color w:val="auto"/>
                <w:kern w:val="0"/>
                <w:sz w:val="24"/>
                <w:highlight w:val="none"/>
              </w:rPr>
            </w:pPr>
          </w:p>
          <w:p w14:paraId="4E7E647C">
            <w:pPr>
              <w:spacing w:line="420" w:lineRule="atLeast"/>
              <w:rPr>
                <w:rFonts w:ascii="宋体" w:cs="宋体"/>
                <w:color w:val="auto"/>
                <w:kern w:val="0"/>
                <w:sz w:val="24"/>
                <w:highlight w:val="none"/>
              </w:rPr>
            </w:pPr>
          </w:p>
          <w:p w14:paraId="4E7E647D">
            <w:pPr>
              <w:spacing w:line="420" w:lineRule="atLeast"/>
              <w:rPr>
                <w:rFonts w:ascii="宋体" w:cs="宋体"/>
                <w:color w:val="auto"/>
                <w:kern w:val="0"/>
                <w:sz w:val="24"/>
                <w:highlight w:val="none"/>
              </w:rPr>
            </w:pPr>
            <w:r>
              <w:rPr>
                <w:rFonts w:hint="eastAsia" w:ascii="宋体" w:cs="宋体"/>
                <w:color w:val="auto"/>
                <w:kern w:val="0"/>
                <w:sz w:val="24"/>
                <w:highlight w:val="none"/>
              </w:rPr>
              <w:t>总</w:t>
            </w:r>
          </w:p>
          <w:p w14:paraId="4E7E647E">
            <w:pPr>
              <w:spacing w:line="420" w:lineRule="atLeast"/>
              <w:rPr>
                <w:rFonts w:ascii="宋体" w:cs="宋体"/>
                <w:color w:val="auto"/>
                <w:kern w:val="0"/>
                <w:sz w:val="24"/>
                <w:highlight w:val="none"/>
              </w:rPr>
            </w:pPr>
          </w:p>
          <w:p w14:paraId="4E7E647F">
            <w:pPr>
              <w:spacing w:line="420" w:lineRule="atLeast"/>
              <w:rPr>
                <w:rFonts w:ascii="宋体" w:cs="宋体"/>
                <w:color w:val="auto"/>
                <w:kern w:val="0"/>
                <w:sz w:val="24"/>
                <w:highlight w:val="none"/>
              </w:rPr>
            </w:pPr>
            <w:r>
              <w:rPr>
                <w:rFonts w:hint="eastAsia" w:ascii="宋体" w:cs="宋体"/>
                <w:color w:val="auto"/>
                <w:kern w:val="0"/>
                <w:sz w:val="24"/>
                <w:highlight w:val="none"/>
              </w:rPr>
              <w:t>部</w:t>
            </w:r>
          </w:p>
        </w:tc>
        <w:tc>
          <w:tcPr>
            <w:tcW w:w="1500" w:type="dxa"/>
          </w:tcPr>
          <w:p w14:paraId="4E7E6480">
            <w:pPr>
              <w:spacing w:line="420" w:lineRule="atLeast"/>
              <w:rPr>
                <w:rFonts w:ascii="宋体" w:cs="宋体"/>
                <w:color w:val="auto"/>
                <w:kern w:val="0"/>
                <w:sz w:val="24"/>
                <w:highlight w:val="none"/>
              </w:rPr>
            </w:pPr>
            <w:r>
              <w:rPr>
                <w:rFonts w:hint="eastAsia" w:ascii="宋体" w:cs="宋体"/>
                <w:color w:val="auto"/>
                <w:kern w:val="0"/>
                <w:sz w:val="24"/>
                <w:highlight w:val="none"/>
              </w:rPr>
              <w:t>项目主管</w:t>
            </w:r>
          </w:p>
        </w:tc>
        <w:tc>
          <w:tcPr>
            <w:tcW w:w="799" w:type="dxa"/>
          </w:tcPr>
          <w:p w14:paraId="4E7E6481">
            <w:pPr>
              <w:spacing w:line="420" w:lineRule="atLeast"/>
              <w:rPr>
                <w:rFonts w:ascii="宋体" w:cs="宋体"/>
                <w:color w:val="auto"/>
                <w:kern w:val="0"/>
                <w:sz w:val="24"/>
                <w:highlight w:val="none"/>
              </w:rPr>
            </w:pPr>
          </w:p>
        </w:tc>
        <w:tc>
          <w:tcPr>
            <w:tcW w:w="800" w:type="dxa"/>
          </w:tcPr>
          <w:p w14:paraId="4E7E6482">
            <w:pPr>
              <w:spacing w:line="420" w:lineRule="atLeast"/>
              <w:rPr>
                <w:rFonts w:ascii="宋体" w:cs="宋体"/>
                <w:color w:val="auto"/>
                <w:kern w:val="0"/>
                <w:sz w:val="24"/>
                <w:highlight w:val="none"/>
              </w:rPr>
            </w:pPr>
          </w:p>
        </w:tc>
        <w:tc>
          <w:tcPr>
            <w:tcW w:w="800" w:type="dxa"/>
          </w:tcPr>
          <w:p w14:paraId="4E7E6483">
            <w:pPr>
              <w:spacing w:line="420" w:lineRule="atLeast"/>
              <w:rPr>
                <w:rFonts w:ascii="宋体" w:cs="宋体"/>
                <w:color w:val="auto"/>
                <w:kern w:val="0"/>
                <w:sz w:val="24"/>
                <w:highlight w:val="none"/>
              </w:rPr>
            </w:pPr>
          </w:p>
        </w:tc>
        <w:tc>
          <w:tcPr>
            <w:tcW w:w="3700" w:type="dxa"/>
          </w:tcPr>
          <w:p w14:paraId="4E7E6484">
            <w:pPr>
              <w:spacing w:line="420" w:lineRule="atLeast"/>
              <w:rPr>
                <w:rFonts w:ascii="宋体" w:cs="宋体"/>
                <w:color w:val="auto"/>
                <w:kern w:val="0"/>
                <w:sz w:val="24"/>
                <w:highlight w:val="none"/>
              </w:rPr>
            </w:pPr>
          </w:p>
        </w:tc>
      </w:tr>
      <w:tr w14:paraId="4E7E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86">
            <w:pPr>
              <w:rPr>
                <w:color w:val="auto"/>
                <w:highlight w:val="none"/>
              </w:rPr>
            </w:pPr>
          </w:p>
        </w:tc>
        <w:tc>
          <w:tcPr>
            <w:tcW w:w="1500" w:type="dxa"/>
          </w:tcPr>
          <w:p w14:paraId="4E7E6487">
            <w:pPr>
              <w:spacing w:line="420" w:lineRule="atLeast"/>
              <w:rPr>
                <w:rFonts w:ascii="宋体" w:cs="宋体"/>
                <w:color w:val="auto"/>
                <w:kern w:val="0"/>
                <w:sz w:val="24"/>
                <w:highlight w:val="none"/>
              </w:rPr>
            </w:pPr>
            <w:r>
              <w:rPr>
                <w:rFonts w:hint="eastAsia" w:ascii="宋体" w:cs="宋体"/>
                <w:color w:val="auto"/>
                <w:kern w:val="0"/>
                <w:sz w:val="24"/>
                <w:highlight w:val="none"/>
              </w:rPr>
              <w:t>技术负责人</w:t>
            </w:r>
          </w:p>
        </w:tc>
        <w:tc>
          <w:tcPr>
            <w:tcW w:w="799" w:type="dxa"/>
          </w:tcPr>
          <w:p w14:paraId="4E7E6488">
            <w:pPr>
              <w:spacing w:line="420" w:lineRule="atLeast"/>
              <w:rPr>
                <w:rFonts w:ascii="宋体" w:cs="宋体"/>
                <w:color w:val="auto"/>
                <w:kern w:val="0"/>
                <w:sz w:val="24"/>
                <w:highlight w:val="none"/>
              </w:rPr>
            </w:pPr>
          </w:p>
        </w:tc>
        <w:tc>
          <w:tcPr>
            <w:tcW w:w="800" w:type="dxa"/>
          </w:tcPr>
          <w:p w14:paraId="4E7E6489">
            <w:pPr>
              <w:spacing w:line="420" w:lineRule="atLeast"/>
              <w:rPr>
                <w:rFonts w:ascii="宋体" w:cs="宋体"/>
                <w:color w:val="auto"/>
                <w:kern w:val="0"/>
                <w:sz w:val="24"/>
                <w:highlight w:val="none"/>
              </w:rPr>
            </w:pPr>
          </w:p>
        </w:tc>
        <w:tc>
          <w:tcPr>
            <w:tcW w:w="800" w:type="dxa"/>
          </w:tcPr>
          <w:p w14:paraId="4E7E648A">
            <w:pPr>
              <w:spacing w:line="420" w:lineRule="atLeast"/>
              <w:rPr>
                <w:rFonts w:ascii="宋体" w:cs="宋体"/>
                <w:color w:val="auto"/>
                <w:kern w:val="0"/>
                <w:sz w:val="24"/>
                <w:highlight w:val="none"/>
              </w:rPr>
            </w:pPr>
          </w:p>
        </w:tc>
        <w:tc>
          <w:tcPr>
            <w:tcW w:w="3700" w:type="dxa"/>
          </w:tcPr>
          <w:p w14:paraId="4E7E648B">
            <w:pPr>
              <w:spacing w:line="420" w:lineRule="atLeast"/>
              <w:rPr>
                <w:rFonts w:ascii="宋体" w:cs="宋体"/>
                <w:color w:val="auto"/>
                <w:kern w:val="0"/>
                <w:sz w:val="24"/>
                <w:highlight w:val="none"/>
              </w:rPr>
            </w:pPr>
          </w:p>
        </w:tc>
      </w:tr>
      <w:tr w14:paraId="4E7E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8D">
            <w:pPr>
              <w:rPr>
                <w:color w:val="auto"/>
                <w:highlight w:val="none"/>
              </w:rPr>
            </w:pPr>
          </w:p>
        </w:tc>
        <w:tc>
          <w:tcPr>
            <w:tcW w:w="1500" w:type="dxa"/>
          </w:tcPr>
          <w:p w14:paraId="4E7E648E">
            <w:pPr>
              <w:spacing w:line="420" w:lineRule="atLeast"/>
              <w:rPr>
                <w:rFonts w:ascii="宋体" w:cs="宋体"/>
                <w:color w:val="auto"/>
                <w:kern w:val="0"/>
                <w:sz w:val="24"/>
                <w:highlight w:val="none"/>
              </w:rPr>
            </w:pPr>
          </w:p>
        </w:tc>
        <w:tc>
          <w:tcPr>
            <w:tcW w:w="799" w:type="dxa"/>
          </w:tcPr>
          <w:p w14:paraId="4E7E648F">
            <w:pPr>
              <w:spacing w:line="420" w:lineRule="atLeast"/>
              <w:rPr>
                <w:rFonts w:ascii="宋体" w:cs="宋体"/>
                <w:color w:val="auto"/>
                <w:kern w:val="0"/>
                <w:sz w:val="24"/>
                <w:highlight w:val="none"/>
              </w:rPr>
            </w:pPr>
          </w:p>
        </w:tc>
        <w:tc>
          <w:tcPr>
            <w:tcW w:w="800" w:type="dxa"/>
          </w:tcPr>
          <w:p w14:paraId="4E7E6490">
            <w:pPr>
              <w:spacing w:line="420" w:lineRule="atLeast"/>
              <w:rPr>
                <w:rFonts w:ascii="宋体" w:cs="宋体"/>
                <w:color w:val="auto"/>
                <w:kern w:val="0"/>
                <w:sz w:val="24"/>
                <w:highlight w:val="none"/>
              </w:rPr>
            </w:pPr>
          </w:p>
        </w:tc>
        <w:tc>
          <w:tcPr>
            <w:tcW w:w="800" w:type="dxa"/>
          </w:tcPr>
          <w:p w14:paraId="4E7E6491">
            <w:pPr>
              <w:spacing w:line="420" w:lineRule="atLeast"/>
              <w:rPr>
                <w:rFonts w:ascii="宋体" w:cs="宋体"/>
                <w:color w:val="auto"/>
                <w:kern w:val="0"/>
                <w:sz w:val="24"/>
                <w:highlight w:val="none"/>
              </w:rPr>
            </w:pPr>
          </w:p>
        </w:tc>
        <w:tc>
          <w:tcPr>
            <w:tcW w:w="3700" w:type="dxa"/>
          </w:tcPr>
          <w:p w14:paraId="4E7E6492">
            <w:pPr>
              <w:spacing w:line="420" w:lineRule="atLeast"/>
              <w:rPr>
                <w:rFonts w:ascii="宋体" w:cs="宋体"/>
                <w:color w:val="auto"/>
                <w:kern w:val="0"/>
                <w:sz w:val="24"/>
                <w:highlight w:val="none"/>
              </w:rPr>
            </w:pPr>
          </w:p>
        </w:tc>
      </w:tr>
      <w:tr w14:paraId="4E7E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94">
            <w:pPr>
              <w:rPr>
                <w:color w:val="auto"/>
                <w:highlight w:val="none"/>
              </w:rPr>
            </w:pPr>
          </w:p>
        </w:tc>
        <w:tc>
          <w:tcPr>
            <w:tcW w:w="1500" w:type="dxa"/>
          </w:tcPr>
          <w:p w14:paraId="4E7E6495">
            <w:pPr>
              <w:spacing w:line="420" w:lineRule="atLeast"/>
              <w:rPr>
                <w:rFonts w:ascii="宋体" w:cs="宋体"/>
                <w:color w:val="auto"/>
                <w:kern w:val="0"/>
                <w:sz w:val="24"/>
                <w:highlight w:val="none"/>
              </w:rPr>
            </w:pPr>
          </w:p>
        </w:tc>
        <w:tc>
          <w:tcPr>
            <w:tcW w:w="799" w:type="dxa"/>
          </w:tcPr>
          <w:p w14:paraId="4E7E6496">
            <w:pPr>
              <w:spacing w:line="420" w:lineRule="atLeast"/>
              <w:rPr>
                <w:rFonts w:ascii="宋体" w:cs="宋体"/>
                <w:color w:val="auto"/>
                <w:kern w:val="0"/>
                <w:sz w:val="24"/>
                <w:highlight w:val="none"/>
              </w:rPr>
            </w:pPr>
          </w:p>
        </w:tc>
        <w:tc>
          <w:tcPr>
            <w:tcW w:w="800" w:type="dxa"/>
          </w:tcPr>
          <w:p w14:paraId="4E7E6497">
            <w:pPr>
              <w:spacing w:line="420" w:lineRule="atLeast"/>
              <w:rPr>
                <w:rFonts w:ascii="宋体" w:cs="宋体"/>
                <w:color w:val="auto"/>
                <w:kern w:val="0"/>
                <w:sz w:val="24"/>
                <w:highlight w:val="none"/>
              </w:rPr>
            </w:pPr>
          </w:p>
        </w:tc>
        <w:tc>
          <w:tcPr>
            <w:tcW w:w="800" w:type="dxa"/>
          </w:tcPr>
          <w:p w14:paraId="4E7E6498">
            <w:pPr>
              <w:spacing w:line="420" w:lineRule="atLeast"/>
              <w:rPr>
                <w:rFonts w:ascii="宋体" w:cs="宋体"/>
                <w:color w:val="auto"/>
                <w:kern w:val="0"/>
                <w:sz w:val="24"/>
                <w:highlight w:val="none"/>
              </w:rPr>
            </w:pPr>
          </w:p>
        </w:tc>
        <w:tc>
          <w:tcPr>
            <w:tcW w:w="3700" w:type="dxa"/>
          </w:tcPr>
          <w:p w14:paraId="4E7E6499">
            <w:pPr>
              <w:spacing w:line="420" w:lineRule="atLeast"/>
              <w:rPr>
                <w:rFonts w:ascii="宋体" w:cs="宋体"/>
                <w:color w:val="auto"/>
                <w:kern w:val="0"/>
                <w:sz w:val="24"/>
                <w:highlight w:val="none"/>
              </w:rPr>
            </w:pPr>
          </w:p>
        </w:tc>
      </w:tr>
      <w:tr w14:paraId="4E7E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9B">
            <w:pPr>
              <w:rPr>
                <w:color w:val="auto"/>
                <w:highlight w:val="none"/>
              </w:rPr>
            </w:pPr>
          </w:p>
        </w:tc>
        <w:tc>
          <w:tcPr>
            <w:tcW w:w="1500" w:type="dxa"/>
          </w:tcPr>
          <w:p w14:paraId="4E7E649C">
            <w:pPr>
              <w:spacing w:line="420" w:lineRule="atLeast"/>
              <w:rPr>
                <w:rFonts w:ascii="宋体" w:cs="宋体"/>
                <w:color w:val="auto"/>
                <w:kern w:val="0"/>
                <w:sz w:val="24"/>
                <w:highlight w:val="none"/>
              </w:rPr>
            </w:pPr>
          </w:p>
        </w:tc>
        <w:tc>
          <w:tcPr>
            <w:tcW w:w="799" w:type="dxa"/>
          </w:tcPr>
          <w:p w14:paraId="4E7E649D">
            <w:pPr>
              <w:spacing w:line="420" w:lineRule="atLeast"/>
              <w:rPr>
                <w:rFonts w:ascii="宋体" w:cs="宋体"/>
                <w:color w:val="auto"/>
                <w:kern w:val="0"/>
                <w:sz w:val="24"/>
                <w:highlight w:val="none"/>
              </w:rPr>
            </w:pPr>
          </w:p>
        </w:tc>
        <w:tc>
          <w:tcPr>
            <w:tcW w:w="800" w:type="dxa"/>
          </w:tcPr>
          <w:p w14:paraId="4E7E649E">
            <w:pPr>
              <w:spacing w:line="420" w:lineRule="atLeast"/>
              <w:rPr>
                <w:rFonts w:ascii="宋体" w:cs="宋体"/>
                <w:color w:val="auto"/>
                <w:kern w:val="0"/>
                <w:sz w:val="24"/>
                <w:highlight w:val="none"/>
              </w:rPr>
            </w:pPr>
          </w:p>
        </w:tc>
        <w:tc>
          <w:tcPr>
            <w:tcW w:w="800" w:type="dxa"/>
          </w:tcPr>
          <w:p w14:paraId="4E7E649F">
            <w:pPr>
              <w:spacing w:line="420" w:lineRule="atLeast"/>
              <w:rPr>
                <w:rFonts w:ascii="宋体" w:cs="宋体"/>
                <w:color w:val="auto"/>
                <w:kern w:val="0"/>
                <w:sz w:val="24"/>
                <w:highlight w:val="none"/>
              </w:rPr>
            </w:pPr>
          </w:p>
        </w:tc>
        <w:tc>
          <w:tcPr>
            <w:tcW w:w="3700" w:type="dxa"/>
          </w:tcPr>
          <w:p w14:paraId="4E7E64A0">
            <w:pPr>
              <w:spacing w:line="420" w:lineRule="atLeast"/>
              <w:rPr>
                <w:rFonts w:ascii="宋体" w:cs="宋体"/>
                <w:color w:val="auto"/>
                <w:kern w:val="0"/>
                <w:sz w:val="24"/>
                <w:highlight w:val="none"/>
              </w:rPr>
            </w:pPr>
          </w:p>
        </w:tc>
      </w:tr>
      <w:tr w14:paraId="4E7E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A2">
            <w:pPr>
              <w:rPr>
                <w:color w:val="auto"/>
                <w:highlight w:val="none"/>
              </w:rPr>
            </w:pPr>
          </w:p>
        </w:tc>
        <w:tc>
          <w:tcPr>
            <w:tcW w:w="1500" w:type="dxa"/>
          </w:tcPr>
          <w:p w14:paraId="4E7E64A3">
            <w:pPr>
              <w:spacing w:line="420" w:lineRule="atLeast"/>
              <w:rPr>
                <w:rFonts w:ascii="宋体" w:cs="宋体"/>
                <w:color w:val="auto"/>
                <w:kern w:val="0"/>
                <w:sz w:val="24"/>
                <w:highlight w:val="none"/>
              </w:rPr>
            </w:pPr>
          </w:p>
        </w:tc>
        <w:tc>
          <w:tcPr>
            <w:tcW w:w="799" w:type="dxa"/>
          </w:tcPr>
          <w:p w14:paraId="4E7E64A4">
            <w:pPr>
              <w:spacing w:line="420" w:lineRule="atLeast"/>
              <w:rPr>
                <w:rFonts w:ascii="宋体" w:cs="宋体"/>
                <w:color w:val="auto"/>
                <w:kern w:val="0"/>
                <w:sz w:val="24"/>
                <w:highlight w:val="none"/>
              </w:rPr>
            </w:pPr>
          </w:p>
        </w:tc>
        <w:tc>
          <w:tcPr>
            <w:tcW w:w="800" w:type="dxa"/>
          </w:tcPr>
          <w:p w14:paraId="4E7E64A5">
            <w:pPr>
              <w:spacing w:line="420" w:lineRule="atLeast"/>
              <w:rPr>
                <w:rFonts w:ascii="宋体" w:cs="宋体"/>
                <w:color w:val="auto"/>
                <w:kern w:val="0"/>
                <w:sz w:val="24"/>
                <w:highlight w:val="none"/>
              </w:rPr>
            </w:pPr>
          </w:p>
        </w:tc>
        <w:tc>
          <w:tcPr>
            <w:tcW w:w="800" w:type="dxa"/>
          </w:tcPr>
          <w:p w14:paraId="4E7E64A6">
            <w:pPr>
              <w:spacing w:line="420" w:lineRule="atLeast"/>
              <w:rPr>
                <w:rFonts w:ascii="宋体" w:cs="宋体"/>
                <w:color w:val="auto"/>
                <w:kern w:val="0"/>
                <w:sz w:val="24"/>
                <w:highlight w:val="none"/>
              </w:rPr>
            </w:pPr>
          </w:p>
        </w:tc>
        <w:tc>
          <w:tcPr>
            <w:tcW w:w="3700" w:type="dxa"/>
          </w:tcPr>
          <w:p w14:paraId="4E7E64A7">
            <w:pPr>
              <w:spacing w:line="420" w:lineRule="atLeast"/>
              <w:rPr>
                <w:rFonts w:ascii="宋体" w:cs="宋体"/>
                <w:color w:val="auto"/>
                <w:kern w:val="0"/>
                <w:sz w:val="24"/>
                <w:highlight w:val="none"/>
              </w:rPr>
            </w:pPr>
          </w:p>
        </w:tc>
      </w:tr>
      <w:tr w14:paraId="4E7E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A9">
            <w:pPr>
              <w:rPr>
                <w:color w:val="auto"/>
                <w:highlight w:val="none"/>
              </w:rPr>
            </w:pPr>
          </w:p>
        </w:tc>
        <w:tc>
          <w:tcPr>
            <w:tcW w:w="1500" w:type="dxa"/>
          </w:tcPr>
          <w:p w14:paraId="4E7E64AA">
            <w:pPr>
              <w:spacing w:line="420" w:lineRule="atLeast"/>
              <w:rPr>
                <w:rFonts w:ascii="宋体" w:cs="宋体"/>
                <w:color w:val="auto"/>
                <w:kern w:val="0"/>
                <w:sz w:val="24"/>
                <w:highlight w:val="none"/>
              </w:rPr>
            </w:pPr>
          </w:p>
        </w:tc>
        <w:tc>
          <w:tcPr>
            <w:tcW w:w="799" w:type="dxa"/>
          </w:tcPr>
          <w:p w14:paraId="4E7E64AB">
            <w:pPr>
              <w:spacing w:line="420" w:lineRule="atLeast"/>
              <w:rPr>
                <w:rFonts w:ascii="宋体" w:cs="宋体"/>
                <w:color w:val="auto"/>
                <w:kern w:val="0"/>
                <w:sz w:val="24"/>
                <w:highlight w:val="none"/>
              </w:rPr>
            </w:pPr>
          </w:p>
        </w:tc>
        <w:tc>
          <w:tcPr>
            <w:tcW w:w="800" w:type="dxa"/>
          </w:tcPr>
          <w:p w14:paraId="4E7E64AC">
            <w:pPr>
              <w:spacing w:line="420" w:lineRule="atLeast"/>
              <w:rPr>
                <w:rFonts w:ascii="宋体" w:cs="宋体"/>
                <w:color w:val="auto"/>
                <w:kern w:val="0"/>
                <w:sz w:val="24"/>
                <w:highlight w:val="none"/>
              </w:rPr>
            </w:pPr>
          </w:p>
        </w:tc>
        <w:tc>
          <w:tcPr>
            <w:tcW w:w="800" w:type="dxa"/>
          </w:tcPr>
          <w:p w14:paraId="4E7E64AD">
            <w:pPr>
              <w:spacing w:line="420" w:lineRule="atLeast"/>
              <w:rPr>
                <w:rFonts w:ascii="宋体" w:cs="宋体"/>
                <w:color w:val="auto"/>
                <w:kern w:val="0"/>
                <w:sz w:val="24"/>
                <w:highlight w:val="none"/>
              </w:rPr>
            </w:pPr>
          </w:p>
        </w:tc>
        <w:tc>
          <w:tcPr>
            <w:tcW w:w="3700" w:type="dxa"/>
          </w:tcPr>
          <w:p w14:paraId="4E7E64AE">
            <w:pPr>
              <w:spacing w:line="420" w:lineRule="atLeast"/>
              <w:rPr>
                <w:rFonts w:ascii="宋体" w:cs="宋体"/>
                <w:color w:val="auto"/>
                <w:kern w:val="0"/>
                <w:sz w:val="24"/>
                <w:highlight w:val="none"/>
              </w:rPr>
            </w:pPr>
          </w:p>
        </w:tc>
      </w:tr>
      <w:tr w14:paraId="4E7E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restart"/>
          </w:tcPr>
          <w:p w14:paraId="4E7E64B0">
            <w:pPr>
              <w:spacing w:line="420" w:lineRule="atLeast"/>
              <w:rPr>
                <w:rFonts w:ascii="宋体" w:cs="宋体"/>
                <w:color w:val="auto"/>
                <w:kern w:val="0"/>
                <w:sz w:val="24"/>
                <w:highlight w:val="none"/>
              </w:rPr>
            </w:pPr>
          </w:p>
          <w:p w14:paraId="4E7E64B1">
            <w:pPr>
              <w:spacing w:line="420" w:lineRule="atLeast"/>
              <w:rPr>
                <w:rFonts w:ascii="宋体" w:cs="宋体"/>
                <w:color w:val="auto"/>
                <w:kern w:val="0"/>
                <w:sz w:val="24"/>
                <w:highlight w:val="none"/>
              </w:rPr>
            </w:pPr>
          </w:p>
          <w:p w14:paraId="4E7E64B2">
            <w:pPr>
              <w:spacing w:line="420" w:lineRule="atLeast"/>
              <w:rPr>
                <w:rFonts w:ascii="宋体" w:cs="宋体"/>
                <w:color w:val="auto"/>
                <w:kern w:val="0"/>
                <w:sz w:val="24"/>
                <w:highlight w:val="none"/>
              </w:rPr>
            </w:pPr>
            <w:r>
              <w:rPr>
                <w:rFonts w:hint="eastAsia" w:ascii="宋体" w:cs="宋体"/>
                <w:color w:val="auto"/>
                <w:kern w:val="0"/>
                <w:sz w:val="24"/>
                <w:highlight w:val="none"/>
              </w:rPr>
              <w:t>现</w:t>
            </w:r>
          </w:p>
          <w:p w14:paraId="4E7E64B3">
            <w:pPr>
              <w:spacing w:line="420" w:lineRule="atLeast"/>
              <w:rPr>
                <w:rFonts w:ascii="宋体" w:cs="宋体"/>
                <w:color w:val="auto"/>
                <w:kern w:val="0"/>
                <w:sz w:val="24"/>
                <w:highlight w:val="none"/>
              </w:rPr>
            </w:pPr>
          </w:p>
          <w:p w14:paraId="4E7E64B4">
            <w:pPr>
              <w:spacing w:line="420" w:lineRule="atLeast"/>
              <w:rPr>
                <w:rFonts w:ascii="宋体" w:cs="宋体"/>
                <w:color w:val="auto"/>
                <w:kern w:val="0"/>
                <w:sz w:val="24"/>
                <w:highlight w:val="none"/>
              </w:rPr>
            </w:pPr>
          </w:p>
          <w:p w14:paraId="4E7E64B5">
            <w:pPr>
              <w:spacing w:line="420" w:lineRule="atLeast"/>
              <w:rPr>
                <w:rFonts w:ascii="宋体" w:cs="宋体"/>
                <w:color w:val="auto"/>
                <w:kern w:val="0"/>
                <w:sz w:val="24"/>
                <w:highlight w:val="none"/>
              </w:rPr>
            </w:pPr>
            <w:r>
              <w:rPr>
                <w:rFonts w:hint="eastAsia" w:ascii="宋体" w:cs="宋体"/>
                <w:color w:val="auto"/>
                <w:kern w:val="0"/>
                <w:sz w:val="24"/>
                <w:highlight w:val="none"/>
              </w:rPr>
              <w:t>场</w:t>
            </w:r>
          </w:p>
        </w:tc>
        <w:tc>
          <w:tcPr>
            <w:tcW w:w="1500" w:type="dxa"/>
          </w:tcPr>
          <w:p w14:paraId="4E7E64B6">
            <w:pPr>
              <w:spacing w:line="420" w:lineRule="atLeast"/>
              <w:rPr>
                <w:rFonts w:ascii="宋体" w:cs="宋体"/>
                <w:color w:val="auto"/>
                <w:kern w:val="0"/>
                <w:sz w:val="24"/>
                <w:highlight w:val="none"/>
              </w:rPr>
            </w:pPr>
            <w:r>
              <w:rPr>
                <w:rFonts w:hint="eastAsia" w:ascii="宋体" w:cs="宋体"/>
                <w:color w:val="auto"/>
                <w:kern w:val="0"/>
                <w:sz w:val="24"/>
                <w:highlight w:val="none"/>
              </w:rPr>
              <w:t>项目负责人</w:t>
            </w:r>
          </w:p>
        </w:tc>
        <w:tc>
          <w:tcPr>
            <w:tcW w:w="799" w:type="dxa"/>
          </w:tcPr>
          <w:p w14:paraId="4E7E64B7">
            <w:pPr>
              <w:spacing w:line="420" w:lineRule="atLeast"/>
              <w:rPr>
                <w:rFonts w:ascii="宋体" w:cs="宋体"/>
                <w:color w:val="auto"/>
                <w:kern w:val="0"/>
                <w:sz w:val="24"/>
                <w:highlight w:val="none"/>
              </w:rPr>
            </w:pPr>
          </w:p>
        </w:tc>
        <w:tc>
          <w:tcPr>
            <w:tcW w:w="800" w:type="dxa"/>
          </w:tcPr>
          <w:p w14:paraId="4E7E64B8">
            <w:pPr>
              <w:spacing w:line="420" w:lineRule="atLeast"/>
              <w:rPr>
                <w:rFonts w:ascii="宋体" w:cs="宋体"/>
                <w:color w:val="auto"/>
                <w:kern w:val="0"/>
                <w:sz w:val="24"/>
                <w:highlight w:val="none"/>
              </w:rPr>
            </w:pPr>
          </w:p>
        </w:tc>
        <w:tc>
          <w:tcPr>
            <w:tcW w:w="800" w:type="dxa"/>
          </w:tcPr>
          <w:p w14:paraId="4E7E64B9">
            <w:pPr>
              <w:spacing w:line="420" w:lineRule="atLeast"/>
              <w:rPr>
                <w:rFonts w:ascii="宋体" w:cs="宋体"/>
                <w:color w:val="auto"/>
                <w:kern w:val="0"/>
                <w:sz w:val="24"/>
                <w:highlight w:val="none"/>
              </w:rPr>
            </w:pPr>
          </w:p>
        </w:tc>
        <w:tc>
          <w:tcPr>
            <w:tcW w:w="3700" w:type="dxa"/>
          </w:tcPr>
          <w:p w14:paraId="4E7E64BA">
            <w:pPr>
              <w:spacing w:line="420" w:lineRule="atLeast"/>
              <w:rPr>
                <w:rFonts w:ascii="宋体" w:cs="宋体"/>
                <w:color w:val="auto"/>
                <w:kern w:val="0"/>
                <w:sz w:val="24"/>
                <w:highlight w:val="none"/>
              </w:rPr>
            </w:pPr>
          </w:p>
        </w:tc>
      </w:tr>
      <w:tr w14:paraId="4E7E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BC">
            <w:pPr>
              <w:rPr>
                <w:color w:val="auto"/>
                <w:highlight w:val="none"/>
              </w:rPr>
            </w:pPr>
          </w:p>
        </w:tc>
        <w:tc>
          <w:tcPr>
            <w:tcW w:w="1500" w:type="dxa"/>
          </w:tcPr>
          <w:p w14:paraId="4E7E64BD">
            <w:pPr>
              <w:spacing w:line="420" w:lineRule="atLeast"/>
              <w:rPr>
                <w:rFonts w:ascii="宋体" w:cs="宋体"/>
                <w:color w:val="auto"/>
                <w:kern w:val="0"/>
                <w:sz w:val="24"/>
                <w:highlight w:val="none"/>
              </w:rPr>
            </w:pPr>
            <w:r>
              <w:rPr>
                <w:rFonts w:hint="eastAsia" w:ascii="宋体" w:cs="宋体"/>
                <w:color w:val="auto"/>
                <w:kern w:val="0"/>
                <w:sz w:val="24"/>
                <w:highlight w:val="none"/>
              </w:rPr>
              <w:t>技术负责人</w:t>
            </w:r>
          </w:p>
        </w:tc>
        <w:tc>
          <w:tcPr>
            <w:tcW w:w="799" w:type="dxa"/>
          </w:tcPr>
          <w:p w14:paraId="4E7E64BE">
            <w:pPr>
              <w:spacing w:line="420" w:lineRule="atLeast"/>
              <w:rPr>
                <w:rFonts w:ascii="宋体" w:cs="宋体"/>
                <w:color w:val="auto"/>
                <w:kern w:val="0"/>
                <w:sz w:val="24"/>
                <w:highlight w:val="none"/>
              </w:rPr>
            </w:pPr>
          </w:p>
        </w:tc>
        <w:tc>
          <w:tcPr>
            <w:tcW w:w="800" w:type="dxa"/>
          </w:tcPr>
          <w:p w14:paraId="4E7E64BF">
            <w:pPr>
              <w:spacing w:line="420" w:lineRule="atLeast"/>
              <w:rPr>
                <w:rFonts w:ascii="宋体" w:cs="宋体"/>
                <w:color w:val="auto"/>
                <w:kern w:val="0"/>
                <w:sz w:val="24"/>
                <w:highlight w:val="none"/>
              </w:rPr>
            </w:pPr>
          </w:p>
        </w:tc>
        <w:tc>
          <w:tcPr>
            <w:tcW w:w="800" w:type="dxa"/>
          </w:tcPr>
          <w:p w14:paraId="4E7E64C0">
            <w:pPr>
              <w:spacing w:line="420" w:lineRule="atLeast"/>
              <w:rPr>
                <w:rFonts w:ascii="宋体" w:cs="宋体"/>
                <w:color w:val="auto"/>
                <w:kern w:val="0"/>
                <w:sz w:val="24"/>
                <w:highlight w:val="none"/>
              </w:rPr>
            </w:pPr>
          </w:p>
        </w:tc>
        <w:tc>
          <w:tcPr>
            <w:tcW w:w="3700" w:type="dxa"/>
          </w:tcPr>
          <w:p w14:paraId="4E7E64C1">
            <w:pPr>
              <w:spacing w:line="420" w:lineRule="atLeast"/>
              <w:rPr>
                <w:rFonts w:ascii="宋体" w:cs="宋体"/>
                <w:color w:val="auto"/>
                <w:kern w:val="0"/>
                <w:sz w:val="24"/>
                <w:highlight w:val="none"/>
              </w:rPr>
            </w:pPr>
          </w:p>
        </w:tc>
      </w:tr>
      <w:tr w14:paraId="4E7E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C3">
            <w:pPr>
              <w:rPr>
                <w:color w:val="auto"/>
                <w:highlight w:val="none"/>
              </w:rPr>
            </w:pPr>
          </w:p>
        </w:tc>
        <w:tc>
          <w:tcPr>
            <w:tcW w:w="1500" w:type="dxa"/>
          </w:tcPr>
          <w:p w14:paraId="4E7E64C4">
            <w:pPr>
              <w:spacing w:line="420" w:lineRule="atLeast"/>
              <w:rPr>
                <w:rFonts w:ascii="宋体" w:cs="宋体"/>
                <w:color w:val="auto"/>
                <w:kern w:val="0"/>
                <w:sz w:val="24"/>
                <w:highlight w:val="none"/>
              </w:rPr>
            </w:pPr>
            <w:r>
              <w:rPr>
                <w:rFonts w:hint="eastAsia" w:ascii="宋体" w:cs="宋体"/>
                <w:color w:val="auto"/>
                <w:kern w:val="0"/>
                <w:sz w:val="24"/>
                <w:highlight w:val="none"/>
              </w:rPr>
              <w:t>安全员</w:t>
            </w:r>
          </w:p>
        </w:tc>
        <w:tc>
          <w:tcPr>
            <w:tcW w:w="799" w:type="dxa"/>
          </w:tcPr>
          <w:p w14:paraId="4E7E64C5">
            <w:pPr>
              <w:spacing w:line="420" w:lineRule="atLeast"/>
              <w:rPr>
                <w:rFonts w:ascii="宋体" w:cs="宋体"/>
                <w:color w:val="auto"/>
                <w:kern w:val="0"/>
                <w:sz w:val="24"/>
                <w:highlight w:val="none"/>
              </w:rPr>
            </w:pPr>
          </w:p>
        </w:tc>
        <w:tc>
          <w:tcPr>
            <w:tcW w:w="800" w:type="dxa"/>
          </w:tcPr>
          <w:p w14:paraId="4E7E64C6">
            <w:pPr>
              <w:spacing w:line="420" w:lineRule="atLeast"/>
              <w:rPr>
                <w:rFonts w:ascii="宋体" w:cs="宋体"/>
                <w:color w:val="auto"/>
                <w:kern w:val="0"/>
                <w:sz w:val="24"/>
                <w:highlight w:val="none"/>
              </w:rPr>
            </w:pPr>
          </w:p>
        </w:tc>
        <w:tc>
          <w:tcPr>
            <w:tcW w:w="800" w:type="dxa"/>
          </w:tcPr>
          <w:p w14:paraId="4E7E64C7">
            <w:pPr>
              <w:spacing w:line="420" w:lineRule="atLeast"/>
              <w:rPr>
                <w:rFonts w:ascii="宋体" w:cs="宋体"/>
                <w:color w:val="auto"/>
                <w:kern w:val="0"/>
                <w:sz w:val="24"/>
                <w:highlight w:val="none"/>
              </w:rPr>
            </w:pPr>
          </w:p>
        </w:tc>
        <w:tc>
          <w:tcPr>
            <w:tcW w:w="3700" w:type="dxa"/>
          </w:tcPr>
          <w:p w14:paraId="4E7E64C8">
            <w:pPr>
              <w:spacing w:line="420" w:lineRule="atLeast"/>
              <w:rPr>
                <w:rFonts w:ascii="宋体" w:cs="宋体"/>
                <w:color w:val="auto"/>
                <w:kern w:val="0"/>
                <w:sz w:val="24"/>
                <w:highlight w:val="none"/>
              </w:rPr>
            </w:pPr>
          </w:p>
        </w:tc>
      </w:tr>
      <w:tr w14:paraId="4E7E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CA">
            <w:pPr>
              <w:rPr>
                <w:color w:val="auto"/>
                <w:highlight w:val="none"/>
              </w:rPr>
            </w:pPr>
          </w:p>
        </w:tc>
        <w:tc>
          <w:tcPr>
            <w:tcW w:w="1500" w:type="dxa"/>
          </w:tcPr>
          <w:p w14:paraId="4E7E64CB">
            <w:pPr>
              <w:spacing w:line="420" w:lineRule="atLeast"/>
              <w:rPr>
                <w:rFonts w:ascii="宋体" w:cs="宋体"/>
                <w:color w:val="auto"/>
                <w:kern w:val="0"/>
                <w:sz w:val="24"/>
                <w:highlight w:val="none"/>
              </w:rPr>
            </w:pPr>
            <w:r>
              <w:rPr>
                <w:rFonts w:hint="eastAsia" w:ascii="宋体" w:cs="宋体"/>
                <w:color w:val="auto"/>
                <w:kern w:val="0"/>
                <w:sz w:val="24"/>
                <w:highlight w:val="none"/>
              </w:rPr>
              <w:t>施工员</w:t>
            </w:r>
          </w:p>
        </w:tc>
        <w:tc>
          <w:tcPr>
            <w:tcW w:w="799" w:type="dxa"/>
          </w:tcPr>
          <w:p w14:paraId="4E7E64CC">
            <w:pPr>
              <w:spacing w:line="420" w:lineRule="atLeast"/>
              <w:rPr>
                <w:rFonts w:ascii="宋体" w:cs="宋体"/>
                <w:color w:val="auto"/>
                <w:kern w:val="0"/>
                <w:sz w:val="24"/>
                <w:highlight w:val="none"/>
              </w:rPr>
            </w:pPr>
          </w:p>
        </w:tc>
        <w:tc>
          <w:tcPr>
            <w:tcW w:w="800" w:type="dxa"/>
          </w:tcPr>
          <w:p w14:paraId="4E7E64CD">
            <w:pPr>
              <w:spacing w:line="420" w:lineRule="atLeast"/>
              <w:rPr>
                <w:rFonts w:ascii="宋体" w:cs="宋体"/>
                <w:color w:val="auto"/>
                <w:kern w:val="0"/>
                <w:sz w:val="24"/>
                <w:highlight w:val="none"/>
              </w:rPr>
            </w:pPr>
          </w:p>
        </w:tc>
        <w:tc>
          <w:tcPr>
            <w:tcW w:w="800" w:type="dxa"/>
          </w:tcPr>
          <w:p w14:paraId="4E7E64CE">
            <w:pPr>
              <w:spacing w:line="420" w:lineRule="atLeast"/>
              <w:rPr>
                <w:rFonts w:ascii="宋体" w:cs="宋体"/>
                <w:color w:val="auto"/>
                <w:kern w:val="0"/>
                <w:sz w:val="24"/>
                <w:highlight w:val="none"/>
              </w:rPr>
            </w:pPr>
          </w:p>
        </w:tc>
        <w:tc>
          <w:tcPr>
            <w:tcW w:w="3700" w:type="dxa"/>
          </w:tcPr>
          <w:p w14:paraId="4E7E64CF">
            <w:pPr>
              <w:spacing w:line="420" w:lineRule="atLeast"/>
              <w:rPr>
                <w:rFonts w:ascii="宋体" w:cs="宋体"/>
                <w:color w:val="auto"/>
                <w:kern w:val="0"/>
                <w:sz w:val="24"/>
                <w:highlight w:val="none"/>
              </w:rPr>
            </w:pPr>
          </w:p>
        </w:tc>
      </w:tr>
      <w:tr w14:paraId="4E7E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D1">
            <w:pPr>
              <w:rPr>
                <w:color w:val="auto"/>
                <w:highlight w:val="none"/>
              </w:rPr>
            </w:pPr>
          </w:p>
        </w:tc>
        <w:tc>
          <w:tcPr>
            <w:tcW w:w="1500" w:type="dxa"/>
          </w:tcPr>
          <w:p w14:paraId="4E7E64D2">
            <w:pPr>
              <w:spacing w:line="420" w:lineRule="atLeast"/>
              <w:rPr>
                <w:rFonts w:ascii="宋体" w:cs="宋体"/>
                <w:color w:val="auto"/>
                <w:kern w:val="0"/>
                <w:sz w:val="24"/>
                <w:highlight w:val="none"/>
              </w:rPr>
            </w:pPr>
            <w:r>
              <w:rPr>
                <w:rFonts w:hint="eastAsia" w:ascii="宋体" w:cs="宋体"/>
                <w:color w:val="auto"/>
                <w:kern w:val="0"/>
                <w:sz w:val="24"/>
                <w:highlight w:val="none"/>
              </w:rPr>
              <w:t>质量员</w:t>
            </w:r>
          </w:p>
        </w:tc>
        <w:tc>
          <w:tcPr>
            <w:tcW w:w="799" w:type="dxa"/>
          </w:tcPr>
          <w:p w14:paraId="4E7E64D3">
            <w:pPr>
              <w:spacing w:line="420" w:lineRule="atLeast"/>
              <w:rPr>
                <w:rFonts w:ascii="宋体" w:cs="宋体"/>
                <w:color w:val="auto"/>
                <w:kern w:val="0"/>
                <w:sz w:val="24"/>
                <w:highlight w:val="none"/>
              </w:rPr>
            </w:pPr>
          </w:p>
        </w:tc>
        <w:tc>
          <w:tcPr>
            <w:tcW w:w="800" w:type="dxa"/>
          </w:tcPr>
          <w:p w14:paraId="4E7E64D4">
            <w:pPr>
              <w:spacing w:line="420" w:lineRule="atLeast"/>
              <w:rPr>
                <w:rFonts w:ascii="宋体" w:cs="宋体"/>
                <w:color w:val="auto"/>
                <w:kern w:val="0"/>
                <w:sz w:val="24"/>
                <w:highlight w:val="none"/>
              </w:rPr>
            </w:pPr>
          </w:p>
        </w:tc>
        <w:tc>
          <w:tcPr>
            <w:tcW w:w="800" w:type="dxa"/>
          </w:tcPr>
          <w:p w14:paraId="4E7E64D5">
            <w:pPr>
              <w:spacing w:line="420" w:lineRule="atLeast"/>
              <w:rPr>
                <w:rFonts w:ascii="宋体" w:cs="宋体"/>
                <w:color w:val="auto"/>
                <w:kern w:val="0"/>
                <w:sz w:val="24"/>
                <w:highlight w:val="none"/>
              </w:rPr>
            </w:pPr>
          </w:p>
        </w:tc>
        <w:tc>
          <w:tcPr>
            <w:tcW w:w="3700" w:type="dxa"/>
          </w:tcPr>
          <w:p w14:paraId="4E7E64D6">
            <w:pPr>
              <w:spacing w:line="420" w:lineRule="atLeast"/>
              <w:rPr>
                <w:rFonts w:ascii="宋体" w:cs="宋体"/>
                <w:color w:val="auto"/>
                <w:kern w:val="0"/>
                <w:sz w:val="24"/>
                <w:highlight w:val="none"/>
              </w:rPr>
            </w:pPr>
          </w:p>
        </w:tc>
      </w:tr>
      <w:tr w14:paraId="4E7E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D8">
            <w:pPr>
              <w:rPr>
                <w:color w:val="auto"/>
                <w:highlight w:val="none"/>
              </w:rPr>
            </w:pPr>
          </w:p>
        </w:tc>
        <w:tc>
          <w:tcPr>
            <w:tcW w:w="1500" w:type="dxa"/>
          </w:tcPr>
          <w:p w14:paraId="4E7E64D9">
            <w:pPr>
              <w:spacing w:line="420" w:lineRule="atLeast"/>
              <w:rPr>
                <w:rFonts w:ascii="宋体" w:cs="宋体"/>
                <w:color w:val="auto"/>
                <w:kern w:val="0"/>
                <w:sz w:val="24"/>
                <w:highlight w:val="none"/>
              </w:rPr>
            </w:pPr>
            <w:r>
              <w:rPr>
                <w:rFonts w:hint="eastAsia" w:ascii="宋体" w:cs="宋体"/>
                <w:color w:val="auto"/>
                <w:kern w:val="0"/>
                <w:sz w:val="24"/>
                <w:highlight w:val="none"/>
              </w:rPr>
              <w:t>其他人员</w:t>
            </w:r>
          </w:p>
        </w:tc>
        <w:tc>
          <w:tcPr>
            <w:tcW w:w="799" w:type="dxa"/>
          </w:tcPr>
          <w:p w14:paraId="4E7E64DA">
            <w:pPr>
              <w:spacing w:line="420" w:lineRule="atLeast"/>
              <w:rPr>
                <w:rFonts w:ascii="宋体" w:cs="宋体"/>
                <w:color w:val="auto"/>
                <w:kern w:val="0"/>
                <w:sz w:val="24"/>
                <w:highlight w:val="none"/>
              </w:rPr>
            </w:pPr>
          </w:p>
        </w:tc>
        <w:tc>
          <w:tcPr>
            <w:tcW w:w="800" w:type="dxa"/>
          </w:tcPr>
          <w:p w14:paraId="4E7E64DB">
            <w:pPr>
              <w:spacing w:line="420" w:lineRule="atLeast"/>
              <w:rPr>
                <w:rFonts w:ascii="宋体" w:cs="宋体"/>
                <w:color w:val="auto"/>
                <w:kern w:val="0"/>
                <w:sz w:val="24"/>
                <w:highlight w:val="none"/>
              </w:rPr>
            </w:pPr>
          </w:p>
        </w:tc>
        <w:tc>
          <w:tcPr>
            <w:tcW w:w="800" w:type="dxa"/>
          </w:tcPr>
          <w:p w14:paraId="4E7E64DC">
            <w:pPr>
              <w:spacing w:line="420" w:lineRule="atLeast"/>
              <w:rPr>
                <w:rFonts w:ascii="宋体" w:cs="宋体"/>
                <w:color w:val="auto"/>
                <w:kern w:val="0"/>
                <w:sz w:val="24"/>
                <w:highlight w:val="none"/>
              </w:rPr>
            </w:pPr>
          </w:p>
        </w:tc>
        <w:tc>
          <w:tcPr>
            <w:tcW w:w="3700" w:type="dxa"/>
          </w:tcPr>
          <w:p w14:paraId="4E7E64DD">
            <w:pPr>
              <w:spacing w:line="420" w:lineRule="atLeast"/>
              <w:rPr>
                <w:rFonts w:ascii="宋体" w:cs="宋体"/>
                <w:color w:val="auto"/>
                <w:kern w:val="0"/>
                <w:sz w:val="24"/>
                <w:highlight w:val="none"/>
              </w:rPr>
            </w:pPr>
          </w:p>
        </w:tc>
      </w:tr>
      <w:tr w14:paraId="4E7E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DF">
            <w:pPr>
              <w:rPr>
                <w:color w:val="auto"/>
                <w:highlight w:val="none"/>
              </w:rPr>
            </w:pPr>
          </w:p>
        </w:tc>
        <w:tc>
          <w:tcPr>
            <w:tcW w:w="1500" w:type="dxa"/>
          </w:tcPr>
          <w:p w14:paraId="4E7E64E0">
            <w:pPr>
              <w:spacing w:line="420" w:lineRule="atLeast"/>
              <w:rPr>
                <w:rFonts w:ascii="宋体" w:cs="宋体"/>
                <w:color w:val="auto"/>
                <w:kern w:val="0"/>
                <w:sz w:val="24"/>
                <w:highlight w:val="none"/>
              </w:rPr>
            </w:pPr>
          </w:p>
        </w:tc>
        <w:tc>
          <w:tcPr>
            <w:tcW w:w="799" w:type="dxa"/>
          </w:tcPr>
          <w:p w14:paraId="4E7E64E1">
            <w:pPr>
              <w:spacing w:line="420" w:lineRule="atLeast"/>
              <w:rPr>
                <w:rFonts w:ascii="宋体" w:cs="宋体"/>
                <w:color w:val="auto"/>
                <w:kern w:val="0"/>
                <w:sz w:val="24"/>
                <w:highlight w:val="none"/>
              </w:rPr>
            </w:pPr>
          </w:p>
        </w:tc>
        <w:tc>
          <w:tcPr>
            <w:tcW w:w="800" w:type="dxa"/>
          </w:tcPr>
          <w:p w14:paraId="4E7E64E2">
            <w:pPr>
              <w:spacing w:line="420" w:lineRule="atLeast"/>
              <w:rPr>
                <w:rFonts w:ascii="宋体" w:cs="宋体"/>
                <w:color w:val="auto"/>
                <w:kern w:val="0"/>
                <w:sz w:val="24"/>
                <w:highlight w:val="none"/>
              </w:rPr>
            </w:pPr>
          </w:p>
        </w:tc>
        <w:tc>
          <w:tcPr>
            <w:tcW w:w="800" w:type="dxa"/>
          </w:tcPr>
          <w:p w14:paraId="4E7E64E3">
            <w:pPr>
              <w:spacing w:line="420" w:lineRule="atLeast"/>
              <w:rPr>
                <w:rFonts w:ascii="宋体" w:cs="宋体"/>
                <w:color w:val="auto"/>
                <w:kern w:val="0"/>
                <w:sz w:val="24"/>
                <w:highlight w:val="none"/>
              </w:rPr>
            </w:pPr>
          </w:p>
        </w:tc>
        <w:tc>
          <w:tcPr>
            <w:tcW w:w="3700" w:type="dxa"/>
          </w:tcPr>
          <w:p w14:paraId="4E7E64E4">
            <w:pPr>
              <w:spacing w:line="420" w:lineRule="atLeast"/>
              <w:rPr>
                <w:rFonts w:ascii="宋体" w:cs="宋体"/>
                <w:color w:val="auto"/>
                <w:kern w:val="0"/>
                <w:sz w:val="24"/>
                <w:highlight w:val="none"/>
              </w:rPr>
            </w:pPr>
          </w:p>
        </w:tc>
      </w:tr>
      <w:tr w14:paraId="4E7E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E6">
            <w:pPr>
              <w:rPr>
                <w:color w:val="auto"/>
                <w:highlight w:val="none"/>
              </w:rPr>
            </w:pPr>
          </w:p>
        </w:tc>
        <w:tc>
          <w:tcPr>
            <w:tcW w:w="1500" w:type="dxa"/>
          </w:tcPr>
          <w:p w14:paraId="4E7E64E7">
            <w:pPr>
              <w:spacing w:line="420" w:lineRule="atLeast"/>
              <w:rPr>
                <w:rFonts w:ascii="宋体" w:cs="宋体"/>
                <w:color w:val="auto"/>
                <w:kern w:val="0"/>
                <w:sz w:val="24"/>
                <w:highlight w:val="none"/>
              </w:rPr>
            </w:pPr>
          </w:p>
        </w:tc>
        <w:tc>
          <w:tcPr>
            <w:tcW w:w="799" w:type="dxa"/>
          </w:tcPr>
          <w:p w14:paraId="4E7E64E8">
            <w:pPr>
              <w:spacing w:line="420" w:lineRule="atLeast"/>
              <w:rPr>
                <w:rFonts w:ascii="宋体" w:cs="宋体"/>
                <w:color w:val="auto"/>
                <w:kern w:val="0"/>
                <w:sz w:val="24"/>
                <w:highlight w:val="none"/>
              </w:rPr>
            </w:pPr>
          </w:p>
        </w:tc>
        <w:tc>
          <w:tcPr>
            <w:tcW w:w="800" w:type="dxa"/>
          </w:tcPr>
          <w:p w14:paraId="4E7E64E9">
            <w:pPr>
              <w:spacing w:line="420" w:lineRule="atLeast"/>
              <w:rPr>
                <w:rFonts w:ascii="宋体" w:cs="宋体"/>
                <w:color w:val="auto"/>
                <w:kern w:val="0"/>
                <w:sz w:val="24"/>
                <w:highlight w:val="none"/>
              </w:rPr>
            </w:pPr>
          </w:p>
        </w:tc>
        <w:tc>
          <w:tcPr>
            <w:tcW w:w="800" w:type="dxa"/>
          </w:tcPr>
          <w:p w14:paraId="4E7E64EA">
            <w:pPr>
              <w:spacing w:line="420" w:lineRule="atLeast"/>
              <w:rPr>
                <w:rFonts w:ascii="宋体" w:cs="宋体"/>
                <w:color w:val="auto"/>
                <w:kern w:val="0"/>
                <w:sz w:val="24"/>
                <w:highlight w:val="none"/>
              </w:rPr>
            </w:pPr>
          </w:p>
        </w:tc>
        <w:tc>
          <w:tcPr>
            <w:tcW w:w="3700" w:type="dxa"/>
          </w:tcPr>
          <w:p w14:paraId="4E7E64EB">
            <w:pPr>
              <w:spacing w:line="420" w:lineRule="atLeast"/>
              <w:rPr>
                <w:rFonts w:ascii="宋体" w:cs="宋体"/>
                <w:color w:val="auto"/>
                <w:kern w:val="0"/>
                <w:sz w:val="24"/>
                <w:highlight w:val="none"/>
              </w:rPr>
            </w:pPr>
          </w:p>
        </w:tc>
      </w:tr>
      <w:tr w14:paraId="4E7E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E7E64ED">
            <w:pPr>
              <w:rPr>
                <w:color w:val="auto"/>
                <w:highlight w:val="none"/>
              </w:rPr>
            </w:pPr>
          </w:p>
        </w:tc>
        <w:tc>
          <w:tcPr>
            <w:tcW w:w="1500" w:type="dxa"/>
          </w:tcPr>
          <w:p w14:paraId="4E7E64EE">
            <w:pPr>
              <w:spacing w:line="420" w:lineRule="atLeast"/>
              <w:rPr>
                <w:rFonts w:ascii="宋体" w:cs="宋体"/>
                <w:color w:val="auto"/>
                <w:kern w:val="0"/>
                <w:sz w:val="24"/>
                <w:highlight w:val="none"/>
              </w:rPr>
            </w:pPr>
          </w:p>
        </w:tc>
        <w:tc>
          <w:tcPr>
            <w:tcW w:w="799" w:type="dxa"/>
          </w:tcPr>
          <w:p w14:paraId="4E7E64EF">
            <w:pPr>
              <w:spacing w:line="420" w:lineRule="atLeast"/>
              <w:rPr>
                <w:rFonts w:ascii="宋体" w:cs="宋体"/>
                <w:color w:val="auto"/>
                <w:kern w:val="0"/>
                <w:sz w:val="24"/>
                <w:highlight w:val="none"/>
              </w:rPr>
            </w:pPr>
          </w:p>
        </w:tc>
        <w:tc>
          <w:tcPr>
            <w:tcW w:w="800" w:type="dxa"/>
          </w:tcPr>
          <w:p w14:paraId="4E7E64F0">
            <w:pPr>
              <w:spacing w:line="420" w:lineRule="atLeast"/>
              <w:rPr>
                <w:rFonts w:ascii="宋体" w:cs="宋体"/>
                <w:color w:val="auto"/>
                <w:kern w:val="0"/>
                <w:sz w:val="24"/>
                <w:highlight w:val="none"/>
              </w:rPr>
            </w:pPr>
          </w:p>
        </w:tc>
        <w:tc>
          <w:tcPr>
            <w:tcW w:w="800" w:type="dxa"/>
          </w:tcPr>
          <w:p w14:paraId="4E7E64F1">
            <w:pPr>
              <w:spacing w:line="420" w:lineRule="atLeast"/>
              <w:rPr>
                <w:rFonts w:ascii="宋体" w:cs="宋体"/>
                <w:color w:val="auto"/>
                <w:kern w:val="0"/>
                <w:sz w:val="24"/>
                <w:highlight w:val="none"/>
              </w:rPr>
            </w:pPr>
          </w:p>
        </w:tc>
        <w:tc>
          <w:tcPr>
            <w:tcW w:w="3700" w:type="dxa"/>
          </w:tcPr>
          <w:p w14:paraId="4E7E64F2">
            <w:pPr>
              <w:spacing w:line="420" w:lineRule="atLeast"/>
              <w:jc w:val="center"/>
              <w:rPr>
                <w:rFonts w:ascii="宋体" w:cs="宋体"/>
                <w:color w:val="auto"/>
                <w:kern w:val="0"/>
                <w:sz w:val="24"/>
                <w:highlight w:val="none"/>
              </w:rPr>
            </w:pPr>
          </w:p>
        </w:tc>
      </w:tr>
    </w:tbl>
    <w:p w14:paraId="4E7E64F4">
      <w:pPr>
        <w:spacing w:line="420" w:lineRule="atLeast"/>
        <w:rPr>
          <w:rFonts w:ascii="宋体" w:cs="宋体"/>
          <w:color w:val="auto"/>
          <w:sz w:val="24"/>
          <w:highlight w:val="none"/>
        </w:rPr>
      </w:pPr>
    </w:p>
    <w:p w14:paraId="4E7E64F5">
      <w:pPr>
        <w:jc w:val="right"/>
        <w:rPr>
          <w:rFonts w:ascii="宋体" w:cs="宋体"/>
          <w:color w:val="auto"/>
          <w:szCs w:val="21"/>
          <w:highlight w:val="none"/>
        </w:rPr>
      </w:pPr>
    </w:p>
    <w:p w14:paraId="4E7E64F6">
      <w:pPr>
        <w:pStyle w:val="2"/>
        <w:jc w:val="center"/>
        <w:rPr>
          <w:rFonts w:ascii="宋体" w:cs="宋体"/>
          <w:color w:val="auto"/>
          <w:sz w:val="36"/>
          <w:szCs w:val="36"/>
          <w:highlight w:val="none"/>
        </w:rPr>
      </w:pPr>
      <w:r>
        <w:rPr>
          <w:rFonts w:hint="eastAsia" w:ascii="宋体" w:cs="宋体"/>
          <w:color w:val="auto"/>
          <w:sz w:val="32"/>
          <w:highlight w:val="none"/>
        </w:rPr>
        <w:br w:type="page"/>
      </w:r>
      <w:bookmarkStart w:id="44" w:name="_Toc404159964"/>
      <w:bookmarkStart w:id="45" w:name="_Toc404174022"/>
      <w:r>
        <w:rPr>
          <w:rFonts w:hint="eastAsia" w:ascii="宋体" w:cs="宋体"/>
          <w:color w:val="auto"/>
          <w:kern w:val="0"/>
          <w:sz w:val="36"/>
          <w:szCs w:val="36"/>
          <w:highlight w:val="none"/>
        </w:rPr>
        <w:t>第七章</w:t>
      </w:r>
      <w:bookmarkStart w:id="46" w:name="_Toc262456721"/>
      <w:bookmarkStart w:id="47" w:name="_Toc288209286"/>
      <w:bookmarkStart w:id="48" w:name="_Toc288889655"/>
      <w:r>
        <w:rPr>
          <w:rFonts w:hint="eastAsia" w:ascii="宋体" w:cs="宋体"/>
          <w:color w:val="auto"/>
          <w:kern w:val="0"/>
          <w:sz w:val="36"/>
          <w:szCs w:val="36"/>
          <w:highlight w:val="none"/>
        </w:rPr>
        <w:t xml:space="preserve"> 资格审查证明材料</w:t>
      </w:r>
      <w:bookmarkEnd w:id="44"/>
      <w:bookmarkEnd w:id="45"/>
      <w:bookmarkEnd w:id="46"/>
      <w:bookmarkEnd w:id="47"/>
      <w:bookmarkEnd w:id="48"/>
    </w:p>
    <w:p w14:paraId="4E7E64F7">
      <w:pPr>
        <w:spacing w:line="360" w:lineRule="auto"/>
        <w:jc w:val="center"/>
        <w:rPr>
          <w:rFonts w:ascii="宋体" w:cs="宋体"/>
          <w:color w:val="auto"/>
          <w:sz w:val="44"/>
          <w:szCs w:val="44"/>
          <w:highlight w:val="none"/>
        </w:rPr>
      </w:pPr>
      <w:r>
        <w:rPr>
          <w:rFonts w:hint="eastAsia" w:ascii="宋体" w:cs="宋体"/>
          <w:color w:val="auto"/>
          <w:sz w:val="44"/>
          <w:szCs w:val="44"/>
          <w:highlight w:val="none"/>
        </w:rPr>
        <w:t>封面</w:t>
      </w:r>
    </w:p>
    <w:p w14:paraId="4E7E64F8">
      <w:pPr>
        <w:spacing w:line="360" w:lineRule="auto"/>
        <w:rPr>
          <w:rFonts w:ascii="宋体" w:cs="宋体"/>
          <w:color w:val="auto"/>
          <w:szCs w:val="21"/>
          <w:highlight w:val="none"/>
        </w:rPr>
      </w:pPr>
    </w:p>
    <w:p w14:paraId="4E7E64F9">
      <w:pPr>
        <w:spacing w:line="360" w:lineRule="auto"/>
        <w:rPr>
          <w:rFonts w:ascii="宋体" w:cs="宋体"/>
          <w:color w:val="auto"/>
          <w:szCs w:val="21"/>
          <w:highlight w:val="none"/>
        </w:rPr>
      </w:pPr>
    </w:p>
    <w:p w14:paraId="4E7E64FA">
      <w:pPr>
        <w:spacing w:line="360" w:lineRule="auto"/>
        <w:ind w:firstLine="3214" w:firstLineChars="893"/>
        <w:rPr>
          <w:rFonts w:ascii="宋体" w:cs="宋体"/>
          <w:color w:val="auto"/>
          <w:sz w:val="36"/>
          <w:highlight w:val="none"/>
        </w:rPr>
      </w:pPr>
      <w:r>
        <w:rPr>
          <w:rFonts w:hint="eastAsia" w:ascii="宋体" w:cs="宋体"/>
          <w:color w:val="auto"/>
          <w:sz w:val="36"/>
          <w:highlight w:val="none"/>
        </w:rPr>
        <w:t>（项目名称）施工招标</w:t>
      </w:r>
    </w:p>
    <w:p w14:paraId="4E7E64FB">
      <w:pPr>
        <w:jc w:val="center"/>
        <w:rPr>
          <w:rFonts w:ascii="宋体" w:cs="宋体"/>
          <w:color w:val="auto"/>
          <w:sz w:val="52"/>
          <w:szCs w:val="52"/>
          <w:highlight w:val="none"/>
        </w:rPr>
      </w:pPr>
      <w:bookmarkStart w:id="49" w:name="_Toc262456722"/>
      <w:bookmarkStart w:id="50" w:name="_Toc288209287"/>
      <w:bookmarkStart w:id="51" w:name="_Toc288889656"/>
      <w:r>
        <w:rPr>
          <w:rFonts w:hint="eastAsia" w:ascii="宋体" w:cs="宋体"/>
          <w:color w:val="auto"/>
          <w:sz w:val="52"/>
          <w:szCs w:val="52"/>
          <w:highlight w:val="none"/>
        </w:rPr>
        <w:t>资格审查</w:t>
      </w:r>
      <w:bookmarkEnd w:id="49"/>
      <w:bookmarkEnd w:id="50"/>
      <w:bookmarkEnd w:id="51"/>
      <w:r>
        <w:rPr>
          <w:rFonts w:hint="eastAsia" w:ascii="宋体" w:cs="宋体"/>
          <w:color w:val="auto"/>
          <w:sz w:val="52"/>
          <w:szCs w:val="52"/>
          <w:highlight w:val="none"/>
        </w:rPr>
        <w:t>资料包</w:t>
      </w:r>
    </w:p>
    <w:p w14:paraId="4E7E64FC">
      <w:pPr>
        <w:spacing w:line="360" w:lineRule="auto"/>
        <w:rPr>
          <w:rFonts w:ascii="宋体" w:cs="宋体"/>
          <w:color w:val="auto"/>
          <w:sz w:val="32"/>
          <w:highlight w:val="none"/>
        </w:rPr>
      </w:pPr>
    </w:p>
    <w:p w14:paraId="4E7E64FD">
      <w:pPr>
        <w:adjustRightInd w:val="0"/>
        <w:snapToGrid w:val="0"/>
        <w:spacing w:line="360" w:lineRule="auto"/>
        <w:rPr>
          <w:rFonts w:ascii="宋体" w:cs="宋体"/>
          <w:color w:val="auto"/>
          <w:sz w:val="24"/>
          <w:highlight w:val="none"/>
        </w:rPr>
      </w:pPr>
    </w:p>
    <w:p w14:paraId="4E7E64FE">
      <w:pPr>
        <w:adjustRightInd w:val="0"/>
        <w:snapToGrid w:val="0"/>
        <w:spacing w:line="360" w:lineRule="auto"/>
        <w:rPr>
          <w:rFonts w:ascii="宋体" w:cs="宋体"/>
          <w:color w:val="auto"/>
          <w:sz w:val="24"/>
          <w:highlight w:val="none"/>
        </w:rPr>
      </w:pPr>
    </w:p>
    <w:p w14:paraId="4E7E64FF">
      <w:pPr>
        <w:adjustRightInd w:val="0"/>
        <w:snapToGrid w:val="0"/>
        <w:spacing w:line="360" w:lineRule="auto"/>
        <w:rPr>
          <w:rFonts w:ascii="宋体" w:cs="宋体"/>
          <w:color w:val="auto"/>
          <w:sz w:val="24"/>
          <w:highlight w:val="none"/>
        </w:rPr>
      </w:pPr>
    </w:p>
    <w:p w14:paraId="4E7E6500">
      <w:pPr>
        <w:adjustRightInd w:val="0"/>
        <w:snapToGrid w:val="0"/>
        <w:spacing w:line="360" w:lineRule="auto"/>
        <w:rPr>
          <w:rFonts w:ascii="宋体" w:cs="宋体"/>
          <w:color w:val="auto"/>
          <w:sz w:val="24"/>
          <w:highlight w:val="none"/>
        </w:rPr>
      </w:pPr>
    </w:p>
    <w:p w14:paraId="4E7E6501">
      <w:pPr>
        <w:adjustRightInd w:val="0"/>
        <w:snapToGrid w:val="0"/>
        <w:spacing w:line="360" w:lineRule="auto"/>
        <w:rPr>
          <w:rFonts w:ascii="宋体" w:cs="宋体"/>
          <w:color w:val="auto"/>
          <w:sz w:val="24"/>
          <w:highlight w:val="none"/>
        </w:rPr>
      </w:pPr>
    </w:p>
    <w:p w14:paraId="4E7E6502">
      <w:pPr>
        <w:adjustRightInd w:val="0"/>
        <w:snapToGrid w:val="0"/>
        <w:spacing w:line="360" w:lineRule="auto"/>
        <w:rPr>
          <w:rFonts w:ascii="宋体" w:cs="宋体"/>
          <w:color w:val="auto"/>
          <w:sz w:val="24"/>
          <w:highlight w:val="none"/>
        </w:rPr>
      </w:pPr>
    </w:p>
    <w:p w14:paraId="4E7E6503">
      <w:pPr>
        <w:adjustRightInd w:val="0"/>
        <w:snapToGrid w:val="0"/>
        <w:spacing w:line="360" w:lineRule="auto"/>
        <w:rPr>
          <w:rFonts w:ascii="宋体" w:cs="宋体"/>
          <w:color w:val="auto"/>
          <w:sz w:val="24"/>
          <w:highlight w:val="none"/>
        </w:rPr>
      </w:pPr>
    </w:p>
    <w:p w14:paraId="4E7E6504">
      <w:pPr>
        <w:adjustRightInd w:val="0"/>
        <w:snapToGrid w:val="0"/>
        <w:spacing w:line="360" w:lineRule="auto"/>
        <w:rPr>
          <w:rFonts w:ascii="宋体" w:cs="宋体"/>
          <w:color w:val="auto"/>
          <w:sz w:val="10"/>
          <w:highlight w:val="none"/>
        </w:rPr>
      </w:pPr>
    </w:p>
    <w:p w14:paraId="4E7E6505">
      <w:pPr>
        <w:adjustRightInd w:val="0"/>
        <w:snapToGrid w:val="0"/>
        <w:spacing w:line="360" w:lineRule="auto"/>
        <w:jc w:val="center"/>
        <w:rPr>
          <w:rFonts w:ascii="宋体" w:cs="宋体"/>
          <w:color w:val="auto"/>
          <w:sz w:val="32"/>
          <w:highlight w:val="none"/>
        </w:rPr>
      </w:pPr>
    </w:p>
    <w:p w14:paraId="4E7E6506">
      <w:pPr>
        <w:adjustRightInd w:val="0"/>
        <w:snapToGrid w:val="0"/>
        <w:spacing w:line="360" w:lineRule="auto"/>
        <w:ind w:firstLine="964" w:firstLineChars="300"/>
        <w:rPr>
          <w:rFonts w:ascii="宋体" w:cs="宋体"/>
          <w:b/>
          <w:color w:val="auto"/>
          <w:sz w:val="32"/>
          <w:highlight w:val="none"/>
          <w:u w:val="single"/>
        </w:rPr>
      </w:pPr>
      <w:r>
        <w:rPr>
          <w:rFonts w:hint="eastAsia" w:ascii="宋体" w:cs="宋体"/>
          <w:b/>
          <w:color w:val="auto"/>
          <w:sz w:val="32"/>
          <w:highlight w:val="none"/>
        </w:rPr>
        <w:t xml:space="preserve">投标人： </w:t>
      </w:r>
      <w:r>
        <w:rPr>
          <w:rFonts w:hint="eastAsia" w:ascii="宋体" w:cs="宋体"/>
          <w:b/>
          <w:color w:val="auto"/>
          <w:sz w:val="32"/>
          <w:highlight w:val="none"/>
          <w:u w:val="single"/>
        </w:rPr>
        <w:t xml:space="preserve">                         （盖单位公章）</w:t>
      </w:r>
    </w:p>
    <w:p w14:paraId="4E7E6507">
      <w:pPr>
        <w:adjustRightInd w:val="0"/>
        <w:snapToGrid w:val="0"/>
        <w:spacing w:line="360" w:lineRule="auto"/>
        <w:rPr>
          <w:rFonts w:ascii="宋体" w:cs="宋体"/>
          <w:b/>
          <w:color w:val="auto"/>
          <w:sz w:val="18"/>
          <w:szCs w:val="18"/>
          <w:highlight w:val="none"/>
        </w:rPr>
      </w:pPr>
    </w:p>
    <w:p w14:paraId="4E7E6508">
      <w:pPr>
        <w:adjustRightInd w:val="0"/>
        <w:snapToGrid w:val="0"/>
        <w:spacing w:line="360" w:lineRule="auto"/>
        <w:ind w:firstLine="964" w:firstLineChars="300"/>
        <w:rPr>
          <w:rFonts w:ascii="宋体" w:cs="宋体"/>
          <w:b/>
          <w:color w:val="auto"/>
          <w:sz w:val="32"/>
          <w:highlight w:val="none"/>
          <w:u w:val="single"/>
        </w:rPr>
      </w:pPr>
      <w:r>
        <w:rPr>
          <w:rFonts w:hint="eastAsia" w:ascii="宋体" w:cs="宋体"/>
          <w:b/>
          <w:color w:val="auto"/>
          <w:sz w:val="32"/>
          <w:highlight w:val="none"/>
        </w:rPr>
        <w:t xml:space="preserve">法定代表人或其委托代理人：  </w:t>
      </w:r>
      <w:r>
        <w:rPr>
          <w:rFonts w:hint="eastAsia" w:ascii="宋体" w:cs="宋体"/>
          <w:b/>
          <w:color w:val="auto"/>
          <w:sz w:val="32"/>
          <w:highlight w:val="none"/>
          <w:u w:val="single"/>
        </w:rPr>
        <w:t>（签字或盖章）</w:t>
      </w:r>
    </w:p>
    <w:p w14:paraId="4E7E6509">
      <w:pPr>
        <w:adjustRightInd w:val="0"/>
        <w:snapToGrid w:val="0"/>
        <w:spacing w:line="360" w:lineRule="auto"/>
        <w:jc w:val="center"/>
        <w:rPr>
          <w:rFonts w:ascii="宋体" w:cs="宋体"/>
          <w:b/>
          <w:color w:val="auto"/>
          <w:sz w:val="18"/>
          <w:szCs w:val="18"/>
          <w:highlight w:val="none"/>
        </w:rPr>
      </w:pPr>
    </w:p>
    <w:p w14:paraId="4E7E650A">
      <w:pPr>
        <w:adjustRightInd w:val="0"/>
        <w:snapToGrid w:val="0"/>
        <w:spacing w:line="360" w:lineRule="auto"/>
        <w:rPr>
          <w:rFonts w:ascii="宋体" w:cs="宋体"/>
          <w:b/>
          <w:color w:val="auto"/>
          <w:sz w:val="32"/>
          <w:highlight w:val="none"/>
          <w:u w:val="single"/>
        </w:rPr>
      </w:pPr>
      <w:r>
        <w:rPr>
          <w:rFonts w:hint="eastAsia" w:ascii="宋体" w:cs="宋体"/>
          <w:b/>
          <w:color w:val="auto"/>
          <w:sz w:val="32"/>
          <w:highlight w:val="none"/>
        </w:rPr>
        <w:t xml:space="preserve">      地址：</w:t>
      </w:r>
    </w:p>
    <w:p w14:paraId="4E7E650B">
      <w:pPr>
        <w:spacing w:line="360" w:lineRule="auto"/>
        <w:rPr>
          <w:rFonts w:ascii="宋体" w:cs="宋体"/>
          <w:b/>
          <w:color w:val="auto"/>
          <w:sz w:val="18"/>
          <w:szCs w:val="18"/>
          <w:highlight w:val="none"/>
        </w:rPr>
      </w:pPr>
    </w:p>
    <w:p w14:paraId="4E7E650C">
      <w:pPr>
        <w:spacing w:line="360" w:lineRule="auto"/>
        <w:ind w:firstLine="964" w:firstLineChars="300"/>
        <w:rPr>
          <w:rFonts w:ascii="宋体" w:cs="宋体"/>
          <w:b/>
          <w:color w:val="auto"/>
          <w:sz w:val="36"/>
          <w:highlight w:val="none"/>
        </w:rPr>
      </w:pPr>
      <w:r>
        <w:rPr>
          <w:rFonts w:hint="eastAsia" w:ascii="宋体" w:cs="宋体"/>
          <w:b/>
          <w:color w:val="auto"/>
          <w:sz w:val="32"/>
          <w:highlight w:val="none"/>
        </w:rPr>
        <w:t>日期：年月日</w:t>
      </w:r>
    </w:p>
    <w:p w14:paraId="4E7E650D">
      <w:pPr>
        <w:tabs>
          <w:tab w:val="left" w:pos="993"/>
        </w:tabs>
        <w:spacing w:line="360" w:lineRule="auto"/>
        <w:rPr>
          <w:rFonts w:ascii="宋体" w:cs="宋体"/>
          <w:color w:val="auto"/>
          <w:highlight w:val="none"/>
        </w:rPr>
      </w:pPr>
    </w:p>
    <w:p w14:paraId="4E7E650E">
      <w:pPr>
        <w:tabs>
          <w:tab w:val="left" w:pos="993"/>
        </w:tabs>
        <w:spacing w:line="360" w:lineRule="auto"/>
        <w:rPr>
          <w:rFonts w:ascii="宋体" w:cs="宋体"/>
          <w:color w:val="auto"/>
          <w:highlight w:val="none"/>
        </w:rPr>
      </w:pPr>
    </w:p>
    <w:p w14:paraId="4E7E650F">
      <w:pPr>
        <w:tabs>
          <w:tab w:val="left" w:pos="993"/>
        </w:tabs>
        <w:spacing w:line="360" w:lineRule="auto"/>
        <w:rPr>
          <w:rFonts w:ascii="宋体" w:cs="宋体"/>
          <w:color w:val="auto"/>
          <w:highlight w:val="none"/>
        </w:rPr>
      </w:pPr>
    </w:p>
    <w:p w14:paraId="4E7E6510">
      <w:pPr>
        <w:tabs>
          <w:tab w:val="left" w:pos="993"/>
        </w:tabs>
        <w:spacing w:line="360" w:lineRule="auto"/>
        <w:rPr>
          <w:rFonts w:ascii="宋体" w:cs="宋体"/>
          <w:color w:val="auto"/>
          <w:highlight w:val="none"/>
        </w:rPr>
      </w:pPr>
    </w:p>
    <w:p w14:paraId="4E7E6511">
      <w:pPr>
        <w:pStyle w:val="11"/>
        <w:spacing w:line="360" w:lineRule="auto"/>
        <w:ind w:firstLine="0"/>
        <w:jc w:val="center"/>
        <w:outlineLvl w:val="1"/>
        <w:rPr>
          <w:rFonts w:ascii="宋体" w:cs="宋体"/>
          <w:b/>
          <w:color w:val="auto"/>
          <w:sz w:val="32"/>
          <w:highlight w:val="none"/>
        </w:rPr>
      </w:pPr>
      <w:r>
        <w:rPr>
          <w:rFonts w:hint="eastAsia" w:ascii="宋体" w:cs="宋体"/>
          <w:b/>
          <w:color w:val="auto"/>
          <w:sz w:val="28"/>
          <w:szCs w:val="28"/>
          <w:highlight w:val="none"/>
        </w:rPr>
        <w:t>法定代表人身份证明</w:t>
      </w:r>
    </w:p>
    <w:p w14:paraId="4E7E6512">
      <w:pPr>
        <w:pStyle w:val="11"/>
        <w:snapToGrid w:val="0"/>
        <w:spacing w:line="440" w:lineRule="exact"/>
        <w:ind w:firstLine="0"/>
        <w:rPr>
          <w:rFonts w:ascii="宋体" w:cs="宋体"/>
          <w:color w:val="auto"/>
          <w:sz w:val="30"/>
          <w:highlight w:val="none"/>
        </w:rPr>
      </w:pPr>
    </w:p>
    <w:p w14:paraId="4E7E6513">
      <w:pPr>
        <w:pStyle w:val="11"/>
        <w:snapToGrid w:val="0"/>
        <w:spacing w:line="440" w:lineRule="exact"/>
        <w:ind w:firstLine="480" w:firstLineChars="200"/>
        <w:rPr>
          <w:rFonts w:ascii="宋体" w:cs="宋体"/>
          <w:color w:val="auto"/>
          <w:highlight w:val="none"/>
          <w:u w:val="single"/>
        </w:rPr>
      </w:pPr>
      <w:r>
        <w:rPr>
          <w:rFonts w:hint="eastAsia" w:ascii="宋体" w:cs="宋体"/>
          <w:color w:val="auto"/>
          <w:highlight w:val="none"/>
        </w:rPr>
        <w:t>投标人单位名称：</w:t>
      </w:r>
    </w:p>
    <w:p w14:paraId="4E7E6514">
      <w:pPr>
        <w:pStyle w:val="11"/>
        <w:snapToGrid w:val="0"/>
        <w:spacing w:line="440" w:lineRule="exact"/>
        <w:ind w:firstLine="480" w:firstLineChars="200"/>
        <w:rPr>
          <w:rFonts w:ascii="宋体" w:cs="宋体"/>
          <w:color w:val="auto"/>
          <w:highlight w:val="none"/>
          <w:u w:val="single"/>
        </w:rPr>
      </w:pPr>
      <w:r>
        <w:rPr>
          <w:rFonts w:hint="eastAsia" w:ascii="宋体" w:cs="宋体"/>
          <w:color w:val="auto"/>
          <w:highlight w:val="none"/>
        </w:rPr>
        <w:t>投标人单位性质：</w:t>
      </w:r>
    </w:p>
    <w:p w14:paraId="4E7E6515">
      <w:pPr>
        <w:pStyle w:val="11"/>
        <w:snapToGrid w:val="0"/>
        <w:spacing w:line="440" w:lineRule="exact"/>
        <w:ind w:firstLine="480" w:firstLineChars="200"/>
        <w:rPr>
          <w:rFonts w:ascii="宋体" w:cs="宋体"/>
          <w:color w:val="auto"/>
          <w:highlight w:val="none"/>
          <w:u w:val="single"/>
        </w:rPr>
      </w:pPr>
      <w:r>
        <w:rPr>
          <w:rFonts w:hint="eastAsia" w:ascii="宋体" w:cs="宋体"/>
          <w:color w:val="auto"/>
          <w:highlight w:val="none"/>
        </w:rPr>
        <w:t>投标人单位地址：</w:t>
      </w:r>
    </w:p>
    <w:p w14:paraId="4E7E6516">
      <w:pPr>
        <w:pStyle w:val="11"/>
        <w:snapToGrid w:val="0"/>
        <w:spacing w:line="440" w:lineRule="exact"/>
        <w:ind w:firstLine="480" w:firstLineChars="200"/>
        <w:rPr>
          <w:rFonts w:ascii="宋体" w:cs="宋体"/>
          <w:color w:val="auto"/>
          <w:highlight w:val="none"/>
          <w:u w:val="single"/>
        </w:rPr>
      </w:pPr>
      <w:r>
        <w:rPr>
          <w:rFonts w:hint="eastAsia" w:ascii="宋体" w:cs="宋体"/>
          <w:color w:val="auto"/>
          <w:highlight w:val="none"/>
        </w:rPr>
        <w:t>成立时间：年月 日</w:t>
      </w:r>
    </w:p>
    <w:p w14:paraId="4E7E6517">
      <w:pPr>
        <w:pStyle w:val="11"/>
        <w:snapToGrid w:val="0"/>
        <w:spacing w:line="440" w:lineRule="exact"/>
        <w:ind w:firstLine="480" w:firstLineChars="200"/>
        <w:rPr>
          <w:rFonts w:ascii="宋体" w:cs="宋体"/>
          <w:color w:val="auto"/>
          <w:highlight w:val="none"/>
          <w:u w:val="single"/>
        </w:rPr>
      </w:pPr>
      <w:r>
        <w:rPr>
          <w:rFonts w:hint="eastAsia" w:ascii="宋体" w:cs="宋体"/>
          <w:color w:val="auto"/>
          <w:highlight w:val="none"/>
        </w:rPr>
        <w:t>经营期限：</w:t>
      </w:r>
    </w:p>
    <w:p w14:paraId="4E7E6518">
      <w:pPr>
        <w:pStyle w:val="11"/>
        <w:snapToGrid w:val="0"/>
        <w:spacing w:line="440" w:lineRule="exact"/>
        <w:ind w:firstLine="480" w:firstLineChars="200"/>
        <w:rPr>
          <w:rFonts w:ascii="宋体" w:cs="宋体"/>
          <w:color w:val="auto"/>
          <w:highlight w:val="none"/>
          <w:u w:val="single"/>
        </w:rPr>
      </w:pPr>
      <w:r>
        <w:rPr>
          <w:rFonts w:hint="eastAsia" w:ascii="宋体" w:cs="宋体"/>
          <w:color w:val="auto"/>
          <w:highlight w:val="none"/>
        </w:rPr>
        <w:t>姓名：性别：</w:t>
      </w:r>
    </w:p>
    <w:p w14:paraId="4E7E6519">
      <w:pPr>
        <w:pStyle w:val="11"/>
        <w:snapToGrid w:val="0"/>
        <w:spacing w:line="440" w:lineRule="exact"/>
        <w:ind w:firstLine="480" w:firstLineChars="200"/>
        <w:rPr>
          <w:rFonts w:ascii="宋体" w:cs="宋体"/>
          <w:color w:val="auto"/>
          <w:highlight w:val="none"/>
          <w:u w:val="single"/>
        </w:rPr>
      </w:pPr>
      <w:r>
        <w:rPr>
          <w:rFonts w:hint="eastAsia" w:ascii="宋体" w:cs="宋体"/>
          <w:color w:val="auto"/>
          <w:highlight w:val="none"/>
        </w:rPr>
        <w:t>年龄：职务：</w:t>
      </w:r>
    </w:p>
    <w:p w14:paraId="4E7E651A">
      <w:pPr>
        <w:pStyle w:val="11"/>
        <w:snapToGrid w:val="0"/>
        <w:spacing w:line="440" w:lineRule="exact"/>
        <w:ind w:firstLine="480" w:firstLineChars="200"/>
        <w:rPr>
          <w:rFonts w:ascii="宋体" w:cs="宋体"/>
          <w:color w:val="auto"/>
          <w:highlight w:val="none"/>
        </w:rPr>
      </w:pPr>
      <w:r>
        <w:rPr>
          <w:rFonts w:hint="eastAsia" w:ascii="宋体" w:cs="宋体"/>
          <w:color w:val="auto"/>
          <w:highlight w:val="none"/>
        </w:rPr>
        <w:t>系：（投标人单位名称）的法定代表人。</w:t>
      </w:r>
    </w:p>
    <w:p w14:paraId="4E7E651B">
      <w:pPr>
        <w:pStyle w:val="11"/>
        <w:snapToGrid w:val="0"/>
        <w:spacing w:line="440" w:lineRule="exact"/>
        <w:ind w:firstLine="480" w:firstLineChars="200"/>
        <w:rPr>
          <w:rFonts w:ascii="宋体" w:cs="宋体"/>
          <w:color w:val="auto"/>
          <w:highlight w:val="none"/>
        </w:rPr>
      </w:pPr>
      <w:r>
        <w:rPr>
          <w:rFonts w:hint="eastAsia" w:ascii="宋体" w:cs="宋体"/>
          <w:color w:val="auto"/>
          <w:highlight w:val="none"/>
        </w:rPr>
        <w:t>法定代表人联系电话：</w:t>
      </w:r>
    </w:p>
    <w:p w14:paraId="4E7E651C">
      <w:pPr>
        <w:pStyle w:val="11"/>
        <w:snapToGrid w:val="0"/>
        <w:spacing w:line="440" w:lineRule="exact"/>
        <w:ind w:firstLine="480" w:firstLineChars="200"/>
        <w:rPr>
          <w:rFonts w:ascii="宋体" w:cs="宋体"/>
          <w:color w:val="auto"/>
          <w:highlight w:val="none"/>
        </w:rPr>
      </w:pPr>
      <w:r>
        <w:rPr>
          <w:rFonts w:hint="eastAsia" w:ascii="宋体" w:cs="宋体"/>
          <w:color w:val="auto"/>
          <w:highlight w:val="none"/>
        </w:rPr>
        <w:t>特此证明。</w:t>
      </w:r>
    </w:p>
    <w:p w14:paraId="4E7E651D">
      <w:pPr>
        <w:pStyle w:val="11"/>
        <w:spacing w:line="360" w:lineRule="auto"/>
        <w:ind w:firstLine="0"/>
        <w:rPr>
          <w:rFonts w:ascii="宋体" w:cs="宋体"/>
          <w:color w:val="auto"/>
          <w:sz w:val="30"/>
          <w:highlight w:val="none"/>
        </w:rPr>
      </w:pPr>
    </w:p>
    <w:p w14:paraId="4E7E651E">
      <w:pPr>
        <w:pStyle w:val="11"/>
        <w:spacing w:line="360" w:lineRule="auto"/>
        <w:ind w:firstLine="0"/>
        <w:jc w:val="center"/>
        <w:rPr>
          <w:rFonts w:ascii="宋体" w:cs="宋体"/>
          <w:color w:val="auto"/>
          <w:sz w:val="30"/>
          <w:highlight w:val="none"/>
        </w:rPr>
      </w:pPr>
      <w:r>
        <w:rPr>
          <w:rFonts w:ascii="宋体" w:cs="宋体"/>
          <w:color w:val="auto"/>
          <w:sz w:val="30"/>
          <w:highlight w:val="none"/>
        </w:rPr>
        <mc:AlternateContent>
          <mc:Choice Requires="wps">
            <w:drawing>
              <wp:anchor distT="0" distB="0" distL="114300" distR="114300" simplePos="0" relativeHeight="251659264" behindDoc="0" locked="0" layoutInCell="1" allowOverlap="1">
                <wp:simplePos x="0" y="0"/>
                <wp:positionH relativeFrom="column">
                  <wp:posOffset>671830</wp:posOffset>
                </wp:positionH>
                <wp:positionV relativeFrom="paragraph">
                  <wp:posOffset>27940</wp:posOffset>
                </wp:positionV>
                <wp:extent cx="5126355" cy="1931670"/>
                <wp:effectExtent l="7620" t="7620" r="9525" b="22860"/>
                <wp:wrapNone/>
                <wp:docPr id="4" name="自选图形 29 9"/>
                <wp:cNvGraphicFramePr/>
                <a:graphic xmlns:a="http://schemas.openxmlformats.org/drawingml/2006/main">
                  <a:graphicData uri="http://schemas.microsoft.com/office/word/2010/wordprocessingShape">
                    <wps:wsp>
                      <wps:cNvSpPr/>
                      <wps:spPr>
                        <a:xfrm>
                          <a:off x="0" y="0"/>
                          <a:ext cx="5126355" cy="1931670"/>
                        </a:xfrm>
                        <a:prstGeom prst="roundRect">
                          <a:avLst>
                            <a:gd name="adj" fmla="val 16667"/>
                          </a:avLst>
                        </a:prstGeom>
                        <a:noFill/>
                        <a:ln w="15875" cap="flat" cmpd="sng">
                          <a:solidFill>
                            <a:srgbClr val="000000"/>
                          </a:solidFill>
                          <a:prstDash val="dash"/>
                          <a:headEnd type="none" w="med" len="med"/>
                          <a:tailEnd type="none" w="med" len="med"/>
                        </a:ln>
                      </wps:spPr>
                      <wps:txbx>
                        <w:txbxContent>
                          <w:p w14:paraId="4E7E65A3"/>
                        </w:txbxContent>
                      </wps:txbx>
                      <wps:bodyPr upright="1"/>
                    </wps:wsp>
                  </a:graphicData>
                </a:graphic>
              </wp:anchor>
            </w:drawing>
          </mc:Choice>
          <mc:Fallback>
            <w:pict>
              <v:roundrect id="自选图形 29 9" o:spid="_x0000_s1026" o:spt="2" style="position:absolute;left:0pt;margin-left:52.9pt;margin-top:2.2pt;height:152.1pt;width:403.65pt;z-index:251659264;mso-width-relative:page;mso-height-relative:page;" filled="f" stroked="t" coordsize="21600,21600" arcsize="0.166666666666667" o:gfxdata="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z3GCPX&#10;AAAACQEAAA8AAAAAAAAAAQAgAAAAIgAAAGRycy9kb3ducmV2LnhtbFBLAQIUABQAAAAIAIdO4kAr&#10;/OfrIQIAADEEAAAOAAAAAAAAAAEAIAAAACYBAABkcnMvZTJvRG9jLnhtbFBLBQYAAAAABgAGAFkB&#10;AAC5BQAAAAA=&#10;">
                <v:fill on="f" focussize="0,0"/>
                <v:stroke weight="1.25pt" color="#000000" joinstyle="round" dashstyle="dash"/>
                <v:imagedata o:title=""/>
                <o:lock v:ext="edit" aspectratio="f"/>
                <v:textbox>
                  <w:txbxContent>
                    <w:p w14:paraId="4E7E65A3"/>
                  </w:txbxContent>
                </v:textbox>
              </v:roundrect>
            </w:pict>
          </mc:Fallback>
        </mc:AlternateContent>
      </w:r>
    </w:p>
    <w:p w14:paraId="4E7E651F">
      <w:pPr>
        <w:pStyle w:val="11"/>
        <w:spacing w:line="360" w:lineRule="auto"/>
        <w:ind w:firstLine="1325" w:firstLineChars="550"/>
        <w:rPr>
          <w:rFonts w:ascii="宋体" w:cs="宋体"/>
          <w:b/>
          <w:color w:val="auto"/>
          <w:highlight w:val="none"/>
        </w:rPr>
      </w:pPr>
      <w:r>
        <w:rPr>
          <w:rFonts w:hint="eastAsia" w:ascii="宋体" w:cs="宋体"/>
          <w:b/>
          <w:color w:val="auto"/>
          <w:highlight w:val="none"/>
        </w:rPr>
        <w:t>法定代表人身份证复印件贴于此处，并加盖单位公章，否则该证明无效。</w:t>
      </w:r>
    </w:p>
    <w:p w14:paraId="4E7E6520">
      <w:pPr>
        <w:pStyle w:val="11"/>
        <w:spacing w:line="360" w:lineRule="auto"/>
        <w:ind w:firstLine="0"/>
        <w:jc w:val="center"/>
        <w:rPr>
          <w:rFonts w:ascii="宋体" w:cs="宋体"/>
          <w:color w:val="auto"/>
          <w:sz w:val="30"/>
          <w:highlight w:val="none"/>
        </w:rPr>
      </w:pPr>
    </w:p>
    <w:p w14:paraId="4E7E6521">
      <w:pPr>
        <w:pStyle w:val="11"/>
        <w:spacing w:line="360" w:lineRule="auto"/>
        <w:ind w:firstLine="0"/>
        <w:jc w:val="center"/>
        <w:rPr>
          <w:rFonts w:ascii="宋体" w:cs="宋体"/>
          <w:color w:val="auto"/>
          <w:sz w:val="30"/>
          <w:highlight w:val="none"/>
        </w:rPr>
      </w:pPr>
    </w:p>
    <w:p w14:paraId="4E7E6522">
      <w:pPr>
        <w:pStyle w:val="11"/>
        <w:snapToGrid w:val="0"/>
        <w:spacing w:line="440" w:lineRule="exact"/>
        <w:ind w:firstLine="480" w:firstLineChars="200"/>
        <w:rPr>
          <w:rFonts w:ascii="宋体" w:cs="宋体"/>
          <w:color w:val="auto"/>
          <w:highlight w:val="none"/>
        </w:rPr>
      </w:pPr>
    </w:p>
    <w:p w14:paraId="4E7E6523">
      <w:pPr>
        <w:pStyle w:val="11"/>
        <w:snapToGrid w:val="0"/>
        <w:spacing w:line="440" w:lineRule="exact"/>
        <w:ind w:firstLine="480" w:firstLineChars="200"/>
        <w:rPr>
          <w:rFonts w:ascii="宋体" w:cs="宋体"/>
          <w:color w:val="auto"/>
          <w:highlight w:val="none"/>
        </w:rPr>
      </w:pPr>
    </w:p>
    <w:p w14:paraId="4E7E6524">
      <w:pPr>
        <w:pStyle w:val="11"/>
        <w:snapToGrid w:val="0"/>
        <w:spacing w:line="440" w:lineRule="exact"/>
        <w:ind w:firstLine="480" w:firstLineChars="200"/>
        <w:rPr>
          <w:rFonts w:ascii="宋体" w:cs="宋体"/>
          <w:color w:val="auto"/>
          <w:highlight w:val="none"/>
        </w:rPr>
      </w:pPr>
    </w:p>
    <w:p w14:paraId="4E7E6525">
      <w:pPr>
        <w:pStyle w:val="11"/>
        <w:snapToGrid w:val="0"/>
        <w:spacing w:line="440" w:lineRule="exact"/>
        <w:ind w:firstLine="3840" w:firstLineChars="1600"/>
        <w:jc w:val="right"/>
        <w:rPr>
          <w:rFonts w:ascii="宋体" w:cs="宋体"/>
          <w:color w:val="auto"/>
          <w:highlight w:val="none"/>
        </w:rPr>
      </w:pPr>
      <w:r>
        <w:rPr>
          <w:rFonts w:hint="eastAsia" w:ascii="宋体" w:cs="宋体"/>
          <w:color w:val="auto"/>
          <w:highlight w:val="none"/>
        </w:rPr>
        <w:t>投标人：（盖单位公章）</w:t>
      </w:r>
    </w:p>
    <w:p w14:paraId="4E7E6526">
      <w:pPr>
        <w:pStyle w:val="11"/>
        <w:snapToGrid w:val="0"/>
        <w:spacing w:line="440" w:lineRule="exact"/>
        <w:ind w:firstLine="3840" w:firstLineChars="1600"/>
        <w:jc w:val="right"/>
        <w:rPr>
          <w:rFonts w:ascii="宋体" w:cs="宋体"/>
          <w:color w:val="auto"/>
          <w:highlight w:val="none"/>
          <w:u w:val="single"/>
        </w:rPr>
      </w:pPr>
      <w:r>
        <w:rPr>
          <w:rFonts w:hint="eastAsia" w:ascii="宋体" w:cs="宋体"/>
          <w:color w:val="auto"/>
          <w:highlight w:val="none"/>
        </w:rPr>
        <w:t>日   期：年月日</w:t>
      </w:r>
    </w:p>
    <w:p w14:paraId="4E7E6527">
      <w:pPr>
        <w:pStyle w:val="11"/>
        <w:spacing w:line="360" w:lineRule="auto"/>
        <w:ind w:firstLine="0"/>
        <w:jc w:val="center"/>
        <w:rPr>
          <w:rFonts w:ascii="宋体" w:cs="宋体"/>
          <w:color w:val="auto"/>
          <w:sz w:val="25"/>
          <w:highlight w:val="none"/>
        </w:rPr>
      </w:pPr>
    </w:p>
    <w:p w14:paraId="4E7E6528">
      <w:pPr>
        <w:pStyle w:val="11"/>
        <w:spacing w:line="360" w:lineRule="auto"/>
        <w:ind w:firstLine="0"/>
        <w:jc w:val="center"/>
        <w:rPr>
          <w:rFonts w:ascii="宋体" w:cs="宋体"/>
          <w:color w:val="auto"/>
          <w:sz w:val="25"/>
          <w:highlight w:val="none"/>
        </w:rPr>
      </w:pPr>
    </w:p>
    <w:p w14:paraId="4E7E6529">
      <w:pPr>
        <w:pStyle w:val="11"/>
        <w:spacing w:line="360" w:lineRule="auto"/>
        <w:ind w:firstLine="0"/>
        <w:jc w:val="center"/>
        <w:rPr>
          <w:rFonts w:ascii="宋体" w:cs="宋体"/>
          <w:color w:val="auto"/>
          <w:sz w:val="25"/>
          <w:highlight w:val="none"/>
        </w:rPr>
      </w:pPr>
    </w:p>
    <w:p w14:paraId="4E7E652A">
      <w:pPr>
        <w:pStyle w:val="11"/>
        <w:spacing w:line="360" w:lineRule="auto"/>
        <w:ind w:firstLine="0"/>
        <w:jc w:val="center"/>
        <w:rPr>
          <w:rFonts w:ascii="宋体" w:cs="宋体"/>
          <w:color w:val="auto"/>
          <w:sz w:val="25"/>
          <w:highlight w:val="none"/>
        </w:rPr>
      </w:pPr>
    </w:p>
    <w:p w14:paraId="4E7E652B">
      <w:pPr>
        <w:pStyle w:val="11"/>
        <w:spacing w:line="360" w:lineRule="auto"/>
        <w:ind w:firstLine="0"/>
        <w:jc w:val="center"/>
        <w:rPr>
          <w:rFonts w:ascii="宋体" w:cs="宋体"/>
          <w:color w:val="auto"/>
          <w:sz w:val="25"/>
          <w:highlight w:val="none"/>
        </w:rPr>
      </w:pPr>
    </w:p>
    <w:p w14:paraId="4E7E652C">
      <w:pPr>
        <w:pStyle w:val="11"/>
        <w:spacing w:line="360" w:lineRule="auto"/>
        <w:ind w:firstLine="0"/>
        <w:jc w:val="center"/>
        <w:rPr>
          <w:rFonts w:ascii="宋体" w:cs="宋体"/>
          <w:color w:val="auto"/>
          <w:sz w:val="25"/>
          <w:highlight w:val="none"/>
        </w:rPr>
      </w:pPr>
    </w:p>
    <w:p w14:paraId="4E7E652D">
      <w:pPr>
        <w:pStyle w:val="11"/>
        <w:spacing w:line="360" w:lineRule="auto"/>
        <w:ind w:firstLine="0"/>
        <w:jc w:val="center"/>
        <w:rPr>
          <w:rFonts w:ascii="宋体" w:cs="宋体"/>
          <w:color w:val="auto"/>
          <w:sz w:val="25"/>
          <w:highlight w:val="none"/>
        </w:rPr>
      </w:pPr>
    </w:p>
    <w:p w14:paraId="4E7E652E">
      <w:pPr>
        <w:pStyle w:val="11"/>
        <w:snapToGrid w:val="0"/>
        <w:spacing w:line="440" w:lineRule="exact"/>
        <w:ind w:firstLine="0"/>
        <w:jc w:val="center"/>
        <w:outlineLvl w:val="1"/>
        <w:rPr>
          <w:rFonts w:ascii="宋体" w:cs="宋体"/>
          <w:color w:val="auto"/>
          <w:sz w:val="28"/>
          <w:szCs w:val="28"/>
          <w:highlight w:val="none"/>
        </w:rPr>
      </w:pPr>
      <w:r>
        <w:rPr>
          <w:rFonts w:hint="eastAsia" w:ascii="宋体" w:cs="宋体"/>
          <w:color w:val="auto"/>
          <w:sz w:val="28"/>
          <w:szCs w:val="28"/>
          <w:highlight w:val="none"/>
        </w:rPr>
        <w:t>授权委托书</w:t>
      </w:r>
    </w:p>
    <w:p w14:paraId="4E7E652F">
      <w:pPr>
        <w:pStyle w:val="11"/>
        <w:snapToGrid w:val="0"/>
        <w:spacing w:line="440" w:lineRule="exact"/>
        <w:ind w:firstLine="0"/>
        <w:rPr>
          <w:rFonts w:ascii="宋体" w:cs="宋体"/>
          <w:color w:val="auto"/>
          <w:highlight w:val="none"/>
        </w:rPr>
      </w:pPr>
    </w:p>
    <w:p w14:paraId="4E7E6530">
      <w:pPr>
        <w:pStyle w:val="11"/>
        <w:snapToGrid w:val="0"/>
        <w:spacing w:line="440" w:lineRule="exact"/>
        <w:ind w:firstLine="480" w:firstLineChars="200"/>
        <w:rPr>
          <w:rFonts w:ascii="宋体" w:cs="宋体"/>
          <w:color w:val="auto"/>
          <w:highlight w:val="none"/>
        </w:rPr>
      </w:pPr>
      <w:r>
        <w:rPr>
          <w:rFonts w:hint="eastAsia" w:ascii="宋体" w:cs="宋体"/>
          <w:color w:val="auto"/>
          <w:highlight w:val="none"/>
        </w:rPr>
        <w:t>本授权委托书声明：本人（姓名）系（投标人单位名称）的法定代表人，现委托（姓名）（身份证号：）为我方代理人。代理人根据授权，以我方名义签署、澄清、说明、补正、递交、撤回、修改（项目名称）施工投标文件，签订合同和处理有关事宜，其法律后果由我方承担。</w:t>
      </w:r>
    </w:p>
    <w:p w14:paraId="4E7E6531">
      <w:pPr>
        <w:pStyle w:val="11"/>
        <w:snapToGrid w:val="0"/>
        <w:spacing w:line="440" w:lineRule="exact"/>
        <w:ind w:firstLine="0"/>
        <w:rPr>
          <w:rFonts w:ascii="宋体" w:cs="宋体"/>
          <w:color w:val="auto"/>
          <w:highlight w:val="none"/>
        </w:rPr>
      </w:pPr>
      <w:r>
        <w:rPr>
          <w:rFonts w:hint="eastAsia" w:ascii="宋体" w:cs="宋体"/>
          <w:color w:val="auto"/>
          <w:highlight w:val="none"/>
        </w:rPr>
        <w:t>委托期限：。</w:t>
      </w:r>
    </w:p>
    <w:p w14:paraId="4E7E6532">
      <w:pPr>
        <w:pStyle w:val="11"/>
        <w:snapToGrid w:val="0"/>
        <w:spacing w:line="440" w:lineRule="exact"/>
        <w:ind w:firstLine="480" w:firstLineChars="200"/>
        <w:jc w:val="left"/>
        <w:rPr>
          <w:rFonts w:ascii="宋体" w:cs="宋体"/>
          <w:color w:val="auto"/>
          <w:sz w:val="28"/>
          <w:szCs w:val="28"/>
          <w:highlight w:val="none"/>
        </w:rPr>
      </w:pPr>
      <w:r>
        <w:rPr>
          <w:rFonts w:hint="eastAsia" w:ascii="宋体" w:cs="宋体"/>
          <w:color w:val="auto"/>
          <w:highlight w:val="none"/>
        </w:rPr>
        <w:t>授权委托人联系电话：</w:t>
      </w:r>
    </w:p>
    <w:p w14:paraId="4E7E6533">
      <w:pPr>
        <w:pStyle w:val="11"/>
        <w:snapToGrid w:val="0"/>
        <w:spacing w:line="440" w:lineRule="exact"/>
        <w:ind w:firstLine="480" w:firstLineChars="200"/>
        <w:rPr>
          <w:rFonts w:ascii="宋体" w:cs="宋体"/>
          <w:color w:val="auto"/>
          <w:highlight w:val="none"/>
        </w:rPr>
      </w:pPr>
      <w:r>
        <w:rPr>
          <w:rFonts w:hint="eastAsia" w:ascii="宋体" w:cs="宋体"/>
          <w:color w:val="auto"/>
          <w:highlight w:val="none"/>
        </w:rPr>
        <w:t>代理人无转委托权。</w:t>
      </w:r>
    </w:p>
    <w:p w14:paraId="4E7E6534">
      <w:pPr>
        <w:pStyle w:val="11"/>
        <w:snapToGrid w:val="0"/>
        <w:spacing w:line="440" w:lineRule="exact"/>
        <w:ind w:firstLine="0"/>
        <w:rPr>
          <w:rFonts w:ascii="宋体" w:cs="宋体"/>
          <w:color w:val="auto"/>
          <w:highlight w:val="none"/>
        </w:rPr>
      </w:pPr>
    </w:p>
    <w:p w14:paraId="4E7E6535">
      <w:pPr>
        <w:pStyle w:val="11"/>
        <w:snapToGrid w:val="0"/>
        <w:spacing w:line="440" w:lineRule="exact"/>
        <w:ind w:firstLine="0"/>
        <w:rPr>
          <w:rFonts w:ascii="宋体" w:cs="宋体"/>
          <w:color w:val="auto"/>
          <w:highlight w:val="none"/>
        </w:rPr>
      </w:pPr>
      <w:r>
        <w:rPr>
          <w:rFonts w:hint="eastAsia" w:ascii="宋体" w:cs="宋体"/>
          <w:color w:val="auto"/>
          <w:highlight w:val="none"/>
        </w:rPr>
        <w:t>代理人： 性别：年龄：</w:t>
      </w:r>
    </w:p>
    <w:p w14:paraId="4E7E6536">
      <w:pPr>
        <w:pStyle w:val="11"/>
        <w:snapToGrid w:val="0"/>
        <w:spacing w:line="440" w:lineRule="exact"/>
        <w:ind w:firstLine="0"/>
        <w:rPr>
          <w:rFonts w:ascii="宋体" w:cs="宋体"/>
          <w:color w:val="auto"/>
          <w:highlight w:val="none"/>
        </w:rPr>
      </w:pPr>
      <w:r>
        <w:rPr>
          <w:rFonts w:hint="eastAsia" w:ascii="宋体" w:cs="宋体"/>
          <w:color w:val="auto"/>
          <w:highlight w:val="none"/>
        </w:rPr>
        <w:t>代理人单位：部门：职务：</w:t>
      </w:r>
    </w:p>
    <w:p w14:paraId="4E7E6537">
      <w:pPr>
        <w:pStyle w:val="11"/>
        <w:snapToGrid w:val="0"/>
        <w:spacing w:line="440" w:lineRule="exact"/>
        <w:ind w:firstLine="0"/>
        <w:rPr>
          <w:rFonts w:ascii="宋体" w:cs="宋体"/>
          <w:color w:val="auto"/>
          <w:highlight w:val="none"/>
        </w:rPr>
      </w:pPr>
    </w:p>
    <w:p w14:paraId="4E7E6538">
      <w:pPr>
        <w:pStyle w:val="11"/>
        <w:snapToGrid w:val="0"/>
        <w:spacing w:line="440" w:lineRule="exact"/>
        <w:ind w:firstLine="0"/>
        <w:rPr>
          <w:rFonts w:ascii="宋体" w:cs="宋体"/>
          <w:color w:val="auto"/>
          <w:highlight w:val="none"/>
        </w:rPr>
      </w:pPr>
      <w:r>
        <w:rPr>
          <w:rFonts w:hint="eastAsia" w:ascii="宋体" w:cs="宋体"/>
          <w:color w:val="auto"/>
          <w:highlight w:val="none"/>
        </w:rPr>
        <w:t>投标人：（盖单位公章）</w:t>
      </w:r>
    </w:p>
    <w:p w14:paraId="4E7E6539">
      <w:pPr>
        <w:pStyle w:val="11"/>
        <w:snapToGrid w:val="0"/>
        <w:spacing w:line="440" w:lineRule="exact"/>
        <w:ind w:firstLine="0"/>
        <w:rPr>
          <w:rFonts w:ascii="宋体" w:cs="宋体"/>
          <w:color w:val="auto"/>
          <w:highlight w:val="none"/>
        </w:rPr>
      </w:pPr>
    </w:p>
    <w:p w14:paraId="4E7E653A">
      <w:pPr>
        <w:pStyle w:val="11"/>
        <w:snapToGrid w:val="0"/>
        <w:spacing w:line="440" w:lineRule="exact"/>
        <w:ind w:firstLine="0"/>
        <w:rPr>
          <w:rFonts w:ascii="宋体" w:cs="宋体"/>
          <w:color w:val="auto"/>
          <w:highlight w:val="none"/>
        </w:rPr>
      </w:pPr>
    </w:p>
    <w:p w14:paraId="4E7E653B">
      <w:pPr>
        <w:pStyle w:val="11"/>
        <w:snapToGrid w:val="0"/>
        <w:spacing w:line="440" w:lineRule="exact"/>
        <w:ind w:firstLine="0"/>
        <w:rPr>
          <w:rFonts w:ascii="宋体" w:cs="宋体"/>
          <w:color w:val="auto"/>
          <w:highlight w:val="none"/>
        </w:rPr>
      </w:pPr>
      <w:r>
        <w:rPr>
          <w:rFonts w:hint="eastAsia" w:ascii="宋体" w:cs="宋体"/>
          <w:color w:val="auto"/>
          <w:highlight w:val="none"/>
        </w:rPr>
        <w:t>法定代表人： （签字或印章）</w:t>
      </w:r>
    </w:p>
    <w:p w14:paraId="4E7E653C">
      <w:pPr>
        <w:pStyle w:val="11"/>
        <w:snapToGrid w:val="0"/>
        <w:spacing w:line="440" w:lineRule="exact"/>
        <w:ind w:firstLine="0"/>
        <w:rPr>
          <w:rFonts w:ascii="宋体" w:cs="宋体"/>
          <w:color w:val="auto"/>
          <w:highlight w:val="none"/>
        </w:rPr>
      </w:pPr>
    </w:p>
    <w:p w14:paraId="4E7E653D">
      <w:pPr>
        <w:pStyle w:val="11"/>
        <w:ind w:firstLine="0"/>
        <w:jc w:val="left"/>
        <w:rPr>
          <w:rFonts w:ascii="宋体" w:cs="宋体"/>
          <w:color w:val="auto"/>
          <w:sz w:val="30"/>
          <w:highlight w:val="none"/>
        </w:rPr>
      </w:pPr>
    </w:p>
    <w:p w14:paraId="4E7E653E">
      <w:pPr>
        <w:pStyle w:val="11"/>
        <w:spacing w:line="360" w:lineRule="auto"/>
        <w:ind w:firstLine="0"/>
        <w:jc w:val="center"/>
        <w:rPr>
          <w:rFonts w:ascii="宋体" w:cs="宋体"/>
          <w:color w:val="auto"/>
          <w:sz w:val="30"/>
          <w:highlight w:val="none"/>
        </w:rPr>
      </w:pPr>
      <w:r>
        <w:rPr>
          <w:rFonts w:ascii="宋体" w:cs="宋体"/>
          <w:color w:val="auto"/>
          <w:sz w:val="30"/>
          <w:highlight w:val="none"/>
        </w:rPr>
        <mc:AlternateContent>
          <mc:Choice Requires="wps">
            <w:drawing>
              <wp:anchor distT="0" distB="0" distL="114300" distR="114300" simplePos="0" relativeHeight="251660288" behindDoc="0" locked="0" layoutInCell="1" allowOverlap="1">
                <wp:simplePos x="0" y="0"/>
                <wp:positionH relativeFrom="column">
                  <wp:posOffset>268605</wp:posOffset>
                </wp:positionH>
                <wp:positionV relativeFrom="paragraph">
                  <wp:posOffset>12065</wp:posOffset>
                </wp:positionV>
                <wp:extent cx="5586095" cy="1889125"/>
                <wp:effectExtent l="7620" t="7620" r="26035" b="8255"/>
                <wp:wrapNone/>
                <wp:docPr id="5" name="自选图形 30 12"/>
                <wp:cNvGraphicFramePr/>
                <a:graphic xmlns:a="http://schemas.openxmlformats.org/drawingml/2006/main">
                  <a:graphicData uri="http://schemas.microsoft.com/office/word/2010/wordprocessingShape">
                    <wps:wsp>
                      <wps:cNvSpPr/>
                      <wps:spPr>
                        <a:xfrm>
                          <a:off x="0" y="0"/>
                          <a:ext cx="5586095" cy="1889125"/>
                        </a:xfrm>
                        <a:prstGeom prst="roundRect">
                          <a:avLst>
                            <a:gd name="adj" fmla="val 16667"/>
                          </a:avLst>
                        </a:prstGeom>
                        <a:noFill/>
                        <a:ln w="15875" cap="flat" cmpd="sng">
                          <a:solidFill>
                            <a:srgbClr val="000000"/>
                          </a:solidFill>
                          <a:prstDash val="dash"/>
                          <a:headEnd type="none" w="med" len="med"/>
                          <a:tailEnd type="none" w="med" len="med"/>
                        </a:ln>
                      </wps:spPr>
                      <wps:txbx>
                        <w:txbxContent>
                          <w:p w14:paraId="4E7E65A4"/>
                        </w:txbxContent>
                      </wps:txbx>
                      <wps:bodyPr upright="1"/>
                    </wps:wsp>
                  </a:graphicData>
                </a:graphic>
              </wp:anchor>
            </w:drawing>
          </mc:Choice>
          <mc:Fallback>
            <w:pict>
              <v:roundrect id="自选图形 30 12" o:spid="_x0000_s1026" o:spt="2" style="position:absolute;left:0pt;margin-left:21.15pt;margin-top:0.95pt;height:148.75pt;width:439.85pt;z-index:251660288;mso-width-relative:page;mso-height-relative:page;" filled="f" stroked="t" coordsize="21600,21600" arcsize="0.166666666666667" o:gfxdata="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q6XK41gAA&#10;AAgBAAAPAAAAAAAAAAEAIAAAACIAAABkcnMvZG93bnJldi54bWxQSwECFAAUAAAACACHTuJADHzP&#10;YSACAAAyBAAADgAAAAAAAAABACAAAAAlAQAAZHJzL2Uyb0RvYy54bWxQSwUGAAAAAAYABgBZAQAA&#10;twUAAAAA&#10;">
                <v:fill on="f" focussize="0,0"/>
                <v:stroke weight="1.25pt" color="#000000" joinstyle="round" dashstyle="dash"/>
                <v:imagedata o:title=""/>
                <o:lock v:ext="edit" aspectratio="f"/>
                <v:textbox>
                  <w:txbxContent>
                    <w:p w14:paraId="4E7E65A4"/>
                  </w:txbxContent>
                </v:textbox>
              </v:roundrect>
            </w:pict>
          </mc:Fallback>
        </mc:AlternateContent>
      </w:r>
    </w:p>
    <w:p w14:paraId="4E7E653F">
      <w:pPr>
        <w:pStyle w:val="11"/>
        <w:spacing w:line="360" w:lineRule="auto"/>
        <w:ind w:firstLine="0"/>
        <w:jc w:val="center"/>
        <w:rPr>
          <w:rFonts w:ascii="宋体" w:cs="宋体"/>
          <w:color w:val="auto"/>
          <w:highlight w:val="none"/>
        </w:rPr>
      </w:pPr>
      <w:r>
        <w:rPr>
          <w:rFonts w:hint="eastAsia" w:ascii="宋体" w:cs="宋体"/>
          <w:color w:val="auto"/>
          <w:highlight w:val="none"/>
        </w:rPr>
        <w:t>法定代表授权委托人身份证复印件贴于此处，并加盖单位公章，否则该证明无效。</w:t>
      </w:r>
    </w:p>
    <w:p w14:paraId="4E7E6540">
      <w:pPr>
        <w:pStyle w:val="11"/>
        <w:spacing w:line="360" w:lineRule="auto"/>
        <w:ind w:firstLine="0"/>
        <w:jc w:val="center"/>
        <w:rPr>
          <w:rFonts w:ascii="宋体" w:cs="宋体"/>
          <w:color w:val="auto"/>
          <w:sz w:val="30"/>
          <w:highlight w:val="none"/>
        </w:rPr>
      </w:pPr>
    </w:p>
    <w:p w14:paraId="4E7E6541">
      <w:pPr>
        <w:pStyle w:val="11"/>
        <w:spacing w:line="360" w:lineRule="auto"/>
        <w:ind w:firstLine="0"/>
        <w:jc w:val="center"/>
        <w:rPr>
          <w:rFonts w:ascii="宋体" w:cs="宋体"/>
          <w:color w:val="auto"/>
          <w:sz w:val="30"/>
          <w:highlight w:val="none"/>
        </w:rPr>
      </w:pPr>
    </w:p>
    <w:p w14:paraId="4E7E6542">
      <w:pPr>
        <w:pStyle w:val="11"/>
        <w:snapToGrid w:val="0"/>
        <w:spacing w:line="440" w:lineRule="exact"/>
        <w:ind w:firstLine="0"/>
        <w:rPr>
          <w:rFonts w:ascii="宋体" w:cs="宋体"/>
          <w:color w:val="auto"/>
          <w:highlight w:val="none"/>
        </w:rPr>
      </w:pPr>
    </w:p>
    <w:p w14:paraId="4E7E6543">
      <w:pPr>
        <w:pStyle w:val="11"/>
        <w:snapToGrid w:val="0"/>
        <w:spacing w:line="440" w:lineRule="exact"/>
        <w:ind w:firstLine="0"/>
        <w:jc w:val="right"/>
        <w:rPr>
          <w:rFonts w:ascii="宋体" w:cs="宋体"/>
          <w:color w:val="auto"/>
          <w:highlight w:val="none"/>
        </w:rPr>
      </w:pPr>
    </w:p>
    <w:p w14:paraId="4E7E6544">
      <w:pPr>
        <w:pStyle w:val="11"/>
        <w:snapToGrid w:val="0"/>
        <w:spacing w:line="440" w:lineRule="exact"/>
        <w:ind w:firstLine="0"/>
        <w:jc w:val="right"/>
        <w:rPr>
          <w:rFonts w:ascii="宋体" w:cs="宋体"/>
          <w:color w:val="auto"/>
          <w:highlight w:val="none"/>
        </w:rPr>
      </w:pPr>
    </w:p>
    <w:p w14:paraId="4E7E6545">
      <w:pPr>
        <w:pStyle w:val="11"/>
        <w:snapToGrid w:val="0"/>
        <w:spacing w:line="440" w:lineRule="exact"/>
        <w:ind w:firstLine="0"/>
        <w:jc w:val="right"/>
        <w:rPr>
          <w:rFonts w:ascii="宋体" w:cs="宋体"/>
          <w:color w:val="auto"/>
          <w:highlight w:val="none"/>
        </w:rPr>
      </w:pPr>
    </w:p>
    <w:p w14:paraId="4E7E6546">
      <w:pPr>
        <w:pStyle w:val="11"/>
        <w:snapToGrid w:val="0"/>
        <w:spacing w:line="440" w:lineRule="exact"/>
        <w:ind w:firstLine="0"/>
        <w:jc w:val="right"/>
        <w:rPr>
          <w:rFonts w:ascii="宋体" w:cs="宋体"/>
          <w:color w:val="auto"/>
          <w:highlight w:val="none"/>
        </w:rPr>
      </w:pPr>
      <w:r>
        <w:rPr>
          <w:rFonts w:hint="eastAsia" w:ascii="宋体" w:cs="宋体"/>
          <w:color w:val="auto"/>
          <w:highlight w:val="none"/>
        </w:rPr>
        <w:t>日期：年月日</w:t>
      </w:r>
    </w:p>
    <w:p w14:paraId="4E7E6547">
      <w:pPr>
        <w:pStyle w:val="11"/>
        <w:spacing w:line="360" w:lineRule="auto"/>
        <w:ind w:firstLine="0"/>
        <w:jc w:val="center"/>
        <w:rPr>
          <w:rFonts w:ascii="宋体" w:cs="宋体"/>
          <w:color w:val="auto"/>
          <w:highlight w:val="none"/>
        </w:rPr>
      </w:pPr>
    </w:p>
    <w:p w14:paraId="4E7E6548">
      <w:pPr>
        <w:tabs>
          <w:tab w:val="left" w:pos="993"/>
        </w:tabs>
        <w:spacing w:line="360" w:lineRule="auto"/>
        <w:rPr>
          <w:rFonts w:ascii="宋体" w:cs="宋体"/>
          <w:color w:val="auto"/>
          <w:highlight w:val="none"/>
        </w:rPr>
      </w:pPr>
    </w:p>
    <w:p w14:paraId="4E7E6549">
      <w:pPr>
        <w:tabs>
          <w:tab w:val="left" w:pos="993"/>
        </w:tabs>
        <w:spacing w:line="360" w:lineRule="auto"/>
        <w:rPr>
          <w:rFonts w:ascii="宋体" w:cs="宋体"/>
          <w:color w:val="auto"/>
          <w:highlight w:val="none"/>
        </w:rPr>
      </w:pPr>
    </w:p>
    <w:p w14:paraId="4E7E654A">
      <w:pPr>
        <w:tabs>
          <w:tab w:val="left" w:pos="993"/>
        </w:tabs>
        <w:spacing w:line="360" w:lineRule="auto"/>
        <w:rPr>
          <w:rFonts w:ascii="宋体" w:cs="宋体"/>
          <w:color w:val="auto"/>
          <w:highlight w:val="none"/>
        </w:rPr>
      </w:pPr>
    </w:p>
    <w:p w14:paraId="4E7E654B">
      <w:pPr>
        <w:pStyle w:val="3"/>
        <w:spacing w:before="48" w:after="48" w:line="360" w:lineRule="auto"/>
        <w:jc w:val="center"/>
        <w:rPr>
          <w:rFonts w:ascii="宋体" w:hAnsi="宋体" w:eastAsia="宋体"/>
          <w:b w:val="0"/>
          <w:color w:val="auto"/>
          <w:sz w:val="28"/>
          <w:highlight w:val="none"/>
        </w:rPr>
      </w:pPr>
      <w:bookmarkStart w:id="52" w:name="_Toc404159965"/>
      <w:bookmarkStart w:id="53" w:name="_Toc404174023"/>
      <w:r>
        <w:rPr>
          <w:rFonts w:hint="eastAsia" w:ascii="宋体" w:hAnsi="宋体" w:eastAsia="宋体"/>
          <w:b w:val="0"/>
          <w:color w:val="auto"/>
          <w:sz w:val="28"/>
          <w:highlight w:val="none"/>
        </w:rPr>
        <w:t>无不良记录承诺书</w:t>
      </w:r>
    </w:p>
    <w:p w14:paraId="4E7E654C">
      <w:pPr>
        <w:spacing w:line="360" w:lineRule="auto"/>
        <w:rPr>
          <w:rFonts w:ascii="宋体" w:hAnsi="宋体"/>
          <w:color w:val="auto"/>
          <w:sz w:val="24"/>
          <w:highlight w:val="none"/>
          <w:u w:val="single"/>
        </w:rPr>
      </w:pPr>
      <w:r>
        <w:rPr>
          <w:rFonts w:ascii="宋体" w:hAnsi="宋体"/>
          <w:color w:val="auto"/>
          <w:sz w:val="24"/>
          <w:highlight w:val="none"/>
          <w:u w:val="single"/>
        </w:rPr>
        <w:t xml:space="preserve"> </w:t>
      </w:r>
      <w:r>
        <w:rPr>
          <w:rFonts w:hint="eastAsia" w:ascii="宋体" w:hAnsi="宋体"/>
          <w:color w:val="auto"/>
          <w:sz w:val="24"/>
          <w:highlight w:val="none"/>
          <w:u w:val="single"/>
        </w:rPr>
        <w:t>（招标人名称）：</w:t>
      </w:r>
    </w:p>
    <w:p w14:paraId="4E7E654D">
      <w:pPr>
        <w:widowControl/>
        <w:spacing w:line="360" w:lineRule="auto"/>
        <w:ind w:firstLine="468" w:firstLineChars="195"/>
        <w:jc w:val="left"/>
        <w:rPr>
          <w:rFonts w:ascii="宋体" w:hAnsi="宋体"/>
          <w:color w:val="auto"/>
          <w:sz w:val="24"/>
          <w:highlight w:val="none"/>
        </w:rPr>
      </w:pPr>
      <w:r>
        <w:rPr>
          <w:rFonts w:hint="eastAsia" w:ascii="宋体" w:hAnsi="宋体"/>
          <w:color w:val="auto"/>
          <w:sz w:val="24"/>
          <w:highlight w:val="none"/>
        </w:rPr>
        <w:t>我方参加你方的</w:t>
      </w:r>
      <w:r>
        <w:rPr>
          <w:rFonts w:ascii="宋体" w:hAnsi="宋体"/>
          <w:color w:val="auto"/>
          <w:sz w:val="24"/>
          <w:highlight w:val="none"/>
          <w:u w:val="single"/>
        </w:rPr>
        <w:t xml:space="preserve">  </w:t>
      </w:r>
      <w:r>
        <w:rPr>
          <w:rFonts w:hint="eastAsia" w:ascii="宋体" w:hAnsi="宋体"/>
          <w:color w:val="auto"/>
          <w:sz w:val="24"/>
          <w:highlight w:val="none"/>
          <w:u w:val="single"/>
        </w:rPr>
        <w:t>（工程名称）</w:t>
      </w:r>
      <w:r>
        <w:rPr>
          <w:rFonts w:ascii="宋体" w:hAnsi="宋体"/>
          <w:color w:val="auto"/>
          <w:sz w:val="24"/>
          <w:highlight w:val="none"/>
          <w:u w:val="single"/>
        </w:rPr>
        <w:t xml:space="preserve">  </w:t>
      </w:r>
      <w:r>
        <w:rPr>
          <w:rFonts w:hint="eastAsia" w:ascii="宋体" w:hAnsi="宋体"/>
          <w:color w:val="auto"/>
          <w:sz w:val="24"/>
          <w:highlight w:val="none"/>
        </w:rPr>
        <w:t>（以下简称“本工程”）施工投标的申请，现我方向你方慎重承诺：</w:t>
      </w:r>
    </w:p>
    <w:p w14:paraId="4E7E654E">
      <w:pPr>
        <w:widowControl/>
        <w:spacing w:line="360" w:lineRule="auto"/>
        <w:ind w:firstLine="468" w:firstLineChars="195"/>
        <w:jc w:val="left"/>
        <w:rPr>
          <w:rFonts w:ascii="宋体" w:hAnsi="宋体"/>
          <w:color w:val="auto"/>
          <w:sz w:val="24"/>
          <w:highlight w:val="none"/>
        </w:rPr>
      </w:pPr>
      <w:r>
        <w:rPr>
          <w:rFonts w:hint="eastAsia" w:ascii="宋体" w:hAnsi="宋体"/>
          <w:color w:val="auto"/>
          <w:sz w:val="24"/>
          <w:highlight w:val="none"/>
        </w:rPr>
        <w:t>企业财务和经营状况良好，具备履行合同能力，无不良经营行为；未处于被责令停业、投标资格被取消或者财产被接管、冻结和破产状态；无因投标申请人违约或不恰当履约引起的合同争议纠纷及仲裁和诉讼记录。如果我方经本工程评标委员会评定为第一中标候选人，在公示期间被他人举报并经招标投标监管机构核实，确认存在上述不良记录，你方即可取消我方第一中标候选人资格。</w:t>
      </w:r>
    </w:p>
    <w:p w14:paraId="4E7E654F">
      <w:pPr>
        <w:spacing w:line="360" w:lineRule="auto"/>
        <w:ind w:firstLine="468" w:firstLineChars="195"/>
        <w:rPr>
          <w:rFonts w:ascii="宋体" w:hAnsi="宋体"/>
          <w:color w:val="auto"/>
          <w:sz w:val="24"/>
          <w:highlight w:val="none"/>
        </w:rPr>
      </w:pPr>
    </w:p>
    <w:p w14:paraId="4E7E6550">
      <w:pPr>
        <w:spacing w:line="360" w:lineRule="auto"/>
        <w:ind w:firstLine="432"/>
        <w:rPr>
          <w:rFonts w:ascii="宋体" w:hAnsi="宋体"/>
          <w:color w:val="auto"/>
          <w:sz w:val="24"/>
          <w:highlight w:val="none"/>
        </w:rPr>
      </w:pPr>
    </w:p>
    <w:p w14:paraId="4E7E6551">
      <w:pPr>
        <w:spacing w:line="360" w:lineRule="auto"/>
        <w:ind w:firstLine="432"/>
        <w:rPr>
          <w:rFonts w:ascii="宋体" w:hAnsi="宋体"/>
          <w:color w:val="auto"/>
          <w:sz w:val="24"/>
          <w:highlight w:val="none"/>
        </w:rPr>
      </w:pPr>
    </w:p>
    <w:p w14:paraId="4E7E6552">
      <w:pPr>
        <w:spacing w:line="360" w:lineRule="auto"/>
        <w:rPr>
          <w:rFonts w:ascii="宋体" w:hAnsi="宋体"/>
          <w:color w:val="auto"/>
          <w:sz w:val="24"/>
          <w:highlight w:val="none"/>
        </w:rPr>
      </w:pPr>
    </w:p>
    <w:p w14:paraId="4E7E6553">
      <w:pPr>
        <w:spacing w:line="360" w:lineRule="auto"/>
        <w:ind w:right="-512" w:rightChars="-244" w:firstLine="3720" w:firstLineChars="1550"/>
        <w:rPr>
          <w:rFonts w:ascii="宋体" w:hAnsi="宋体"/>
          <w:color w:val="auto"/>
          <w:sz w:val="24"/>
          <w:highlight w:val="none"/>
        </w:rPr>
      </w:pPr>
      <w:r>
        <w:rPr>
          <w:rFonts w:hint="eastAsia" w:ascii="宋体" w:hAnsi="宋体"/>
          <w:color w:val="auto"/>
          <w:sz w:val="24"/>
          <w:highlight w:val="none"/>
        </w:rPr>
        <w:t>投标人（盖单位公章）：</w:t>
      </w:r>
      <w:r>
        <w:rPr>
          <w:rFonts w:ascii="宋体" w:hAnsi="宋体"/>
          <w:color w:val="auto"/>
          <w:sz w:val="24"/>
          <w:highlight w:val="none"/>
          <w:u w:val="single"/>
        </w:rPr>
        <w:t xml:space="preserve">                 </w:t>
      </w:r>
      <w:r>
        <w:rPr>
          <w:rFonts w:ascii="宋体" w:hAnsi="宋体"/>
          <w:color w:val="auto"/>
          <w:sz w:val="24"/>
          <w:highlight w:val="none"/>
        </w:rPr>
        <w:t xml:space="preserve"> </w:t>
      </w:r>
    </w:p>
    <w:p w14:paraId="4E7E6554">
      <w:pPr>
        <w:tabs>
          <w:tab w:val="left" w:pos="4320"/>
        </w:tabs>
        <w:spacing w:line="360" w:lineRule="auto"/>
        <w:ind w:right="-512" w:rightChars="-244" w:firstLine="3720" w:firstLineChars="1550"/>
        <w:rPr>
          <w:rFonts w:ascii="宋体" w:hAnsi="宋体"/>
          <w:color w:val="auto"/>
          <w:sz w:val="24"/>
          <w:highlight w:val="none"/>
        </w:rPr>
      </w:pPr>
      <w:r>
        <w:rPr>
          <w:rFonts w:hint="eastAsia" w:ascii="宋体" w:hAnsi="宋体"/>
          <w:color w:val="auto"/>
          <w:sz w:val="24"/>
          <w:highlight w:val="none"/>
        </w:rPr>
        <w:t>法定代表人（签字或盖章）：</w:t>
      </w:r>
      <w:r>
        <w:rPr>
          <w:rFonts w:ascii="宋体" w:hAnsi="宋体"/>
          <w:color w:val="auto"/>
          <w:sz w:val="24"/>
          <w:highlight w:val="none"/>
          <w:u w:val="single"/>
        </w:rPr>
        <w:t xml:space="preserve">               </w:t>
      </w:r>
      <w:r>
        <w:rPr>
          <w:rFonts w:ascii="宋体" w:hAnsi="宋体"/>
          <w:color w:val="auto"/>
          <w:sz w:val="24"/>
          <w:highlight w:val="none"/>
        </w:rPr>
        <w:t xml:space="preserve"> </w:t>
      </w:r>
    </w:p>
    <w:p w14:paraId="4E7E6555">
      <w:pPr>
        <w:spacing w:line="360" w:lineRule="auto"/>
        <w:jc w:val="center"/>
        <w:rPr>
          <w:rFonts w:ascii="宋体" w:hAnsi="宋体"/>
          <w:color w:val="auto"/>
          <w:sz w:val="36"/>
          <w:highlight w:val="none"/>
        </w:rPr>
      </w:pPr>
      <w:r>
        <w:rPr>
          <w:rFonts w:ascii="宋体" w:hAnsi="宋体"/>
          <w:color w:val="auto"/>
          <w:highlight w:val="non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ascii="宋体" w:hAnsi="宋体"/>
          <w:color w:val="auto"/>
          <w:highlight w:val="none"/>
          <w:u w:val="single"/>
        </w:rPr>
        <w:t xml:space="preserve">      </w:t>
      </w:r>
      <w:r>
        <w:rPr>
          <w:rFonts w:hint="eastAsia" w:ascii="宋体" w:hAnsi="宋体"/>
          <w:color w:val="auto"/>
          <w:highlight w:val="none"/>
        </w:rPr>
        <w:t>月</w:t>
      </w:r>
      <w:r>
        <w:rPr>
          <w:rFonts w:ascii="宋体" w:hAnsi="宋体"/>
          <w:color w:val="auto"/>
          <w:highlight w:val="none"/>
          <w:u w:val="single"/>
        </w:rPr>
        <w:t xml:space="preserve">     </w:t>
      </w:r>
      <w:r>
        <w:rPr>
          <w:rFonts w:hint="eastAsia" w:ascii="宋体" w:hAnsi="宋体"/>
          <w:color w:val="auto"/>
          <w:highlight w:val="none"/>
        </w:rPr>
        <w:t>日</w:t>
      </w:r>
    </w:p>
    <w:p w14:paraId="4E7E6556">
      <w:pPr>
        <w:jc w:val="center"/>
        <w:rPr>
          <w:rFonts w:ascii="宋体" w:cs="宋体"/>
          <w:color w:val="auto"/>
          <w:kern w:val="0"/>
          <w:sz w:val="36"/>
          <w:szCs w:val="36"/>
          <w:highlight w:val="none"/>
        </w:rPr>
      </w:pPr>
    </w:p>
    <w:p w14:paraId="4E7E6557">
      <w:pPr>
        <w:jc w:val="center"/>
        <w:rPr>
          <w:rFonts w:ascii="宋体" w:cs="宋体"/>
          <w:color w:val="auto"/>
          <w:kern w:val="0"/>
          <w:sz w:val="36"/>
          <w:szCs w:val="36"/>
          <w:highlight w:val="none"/>
        </w:rPr>
      </w:pPr>
    </w:p>
    <w:p w14:paraId="4E7E6558">
      <w:pPr>
        <w:jc w:val="center"/>
        <w:rPr>
          <w:rFonts w:ascii="宋体" w:cs="宋体"/>
          <w:color w:val="auto"/>
          <w:kern w:val="0"/>
          <w:sz w:val="36"/>
          <w:szCs w:val="36"/>
          <w:highlight w:val="none"/>
        </w:rPr>
      </w:pPr>
    </w:p>
    <w:p w14:paraId="4E7E6559">
      <w:pPr>
        <w:jc w:val="center"/>
        <w:rPr>
          <w:rFonts w:ascii="宋体" w:cs="宋体"/>
          <w:color w:val="auto"/>
          <w:kern w:val="0"/>
          <w:sz w:val="36"/>
          <w:szCs w:val="36"/>
          <w:highlight w:val="none"/>
        </w:rPr>
      </w:pPr>
    </w:p>
    <w:p w14:paraId="4E7E655A">
      <w:pPr>
        <w:jc w:val="center"/>
        <w:rPr>
          <w:rFonts w:ascii="宋体" w:cs="宋体"/>
          <w:color w:val="auto"/>
          <w:kern w:val="0"/>
          <w:sz w:val="36"/>
          <w:szCs w:val="36"/>
          <w:highlight w:val="none"/>
        </w:rPr>
      </w:pPr>
    </w:p>
    <w:p w14:paraId="4E7E655B">
      <w:pPr>
        <w:snapToGrid w:val="0"/>
        <w:spacing w:line="360" w:lineRule="auto"/>
        <w:jc w:val="center"/>
        <w:rPr>
          <w:b/>
          <w:color w:val="auto"/>
          <w:sz w:val="32"/>
          <w:highlight w:val="none"/>
        </w:rPr>
      </w:pPr>
    </w:p>
    <w:p w14:paraId="4E7E655C">
      <w:pPr>
        <w:snapToGrid w:val="0"/>
        <w:spacing w:line="360" w:lineRule="auto"/>
        <w:jc w:val="center"/>
        <w:rPr>
          <w:b/>
          <w:color w:val="auto"/>
          <w:sz w:val="32"/>
          <w:highlight w:val="none"/>
        </w:rPr>
      </w:pPr>
    </w:p>
    <w:p w14:paraId="4E7E655D">
      <w:pPr>
        <w:snapToGrid w:val="0"/>
        <w:spacing w:line="360" w:lineRule="auto"/>
        <w:jc w:val="center"/>
        <w:rPr>
          <w:b/>
          <w:color w:val="auto"/>
          <w:sz w:val="32"/>
          <w:highlight w:val="none"/>
        </w:rPr>
      </w:pPr>
    </w:p>
    <w:p w14:paraId="4E7E655E">
      <w:pPr>
        <w:snapToGrid w:val="0"/>
        <w:spacing w:line="360" w:lineRule="auto"/>
        <w:jc w:val="center"/>
        <w:rPr>
          <w:b/>
          <w:color w:val="auto"/>
          <w:sz w:val="32"/>
          <w:highlight w:val="none"/>
        </w:rPr>
      </w:pPr>
    </w:p>
    <w:p w14:paraId="4E7E655F">
      <w:pPr>
        <w:snapToGrid w:val="0"/>
        <w:spacing w:line="360" w:lineRule="auto"/>
        <w:jc w:val="center"/>
        <w:rPr>
          <w:b/>
          <w:color w:val="auto"/>
          <w:sz w:val="32"/>
          <w:highlight w:val="none"/>
        </w:rPr>
      </w:pPr>
    </w:p>
    <w:p w14:paraId="4E7E6560">
      <w:pPr>
        <w:snapToGrid w:val="0"/>
        <w:spacing w:line="360" w:lineRule="auto"/>
        <w:jc w:val="center"/>
        <w:rPr>
          <w:b/>
          <w:color w:val="auto"/>
          <w:sz w:val="32"/>
          <w:highlight w:val="none"/>
        </w:rPr>
      </w:pPr>
    </w:p>
    <w:p w14:paraId="4E7E6561">
      <w:pPr>
        <w:snapToGrid w:val="0"/>
        <w:spacing w:line="360" w:lineRule="auto"/>
        <w:jc w:val="center"/>
        <w:rPr>
          <w:b/>
          <w:color w:val="auto"/>
          <w:sz w:val="32"/>
          <w:highlight w:val="none"/>
        </w:rPr>
      </w:pPr>
    </w:p>
    <w:p w14:paraId="4E7E6562">
      <w:pPr>
        <w:snapToGrid w:val="0"/>
        <w:spacing w:line="360" w:lineRule="auto"/>
        <w:jc w:val="center"/>
        <w:rPr>
          <w:b/>
          <w:color w:val="auto"/>
          <w:sz w:val="32"/>
          <w:highlight w:val="none"/>
        </w:rPr>
      </w:pPr>
    </w:p>
    <w:p w14:paraId="4E7E6563">
      <w:pPr>
        <w:pStyle w:val="76"/>
        <w:snapToGrid w:val="0"/>
        <w:spacing w:after="0" w:line="420" w:lineRule="atLeast"/>
        <w:rPr>
          <w:rFonts w:hint="default" w:ascii="宋体" w:hAnsi="宋体" w:eastAsia="宋体"/>
          <w:b/>
          <w:color w:val="auto"/>
          <w:sz w:val="28"/>
          <w:highlight w:val="none"/>
          <w:lang w:val="en-US" w:eastAsia="zh-CN"/>
        </w:rPr>
      </w:pPr>
      <w:r>
        <w:rPr>
          <w:rFonts w:hint="eastAsia" w:ascii="宋体" w:hAnsi="宋体"/>
          <w:b/>
          <w:color w:val="auto"/>
          <w:sz w:val="28"/>
          <w:highlight w:val="none"/>
          <w:lang w:val="en-US" w:eastAsia="zh-CN"/>
        </w:rPr>
        <w:t>投标人承诺函</w:t>
      </w:r>
    </w:p>
    <w:p w14:paraId="4E7E6564">
      <w:pPr>
        <w:adjustRightInd w:val="0"/>
        <w:snapToGrid w:val="0"/>
        <w:spacing w:line="420" w:lineRule="atLeast"/>
        <w:jc w:val="center"/>
        <w:textAlignment w:val="baseline"/>
        <w:rPr>
          <w:rFonts w:ascii="宋体" w:hAnsi="宋体"/>
          <w:color w:val="auto"/>
          <w:kern w:val="0"/>
          <w:sz w:val="32"/>
          <w:szCs w:val="32"/>
          <w:highlight w:val="none"/>
        </w:rPr>
      </w:pPr>
    </w:p>
    <w:p w14:paraId="4E7E6565">
      <w:pPr>
        <w:snapToGrid w:val="0"/>
        <w:spacing w:line="360" w:lineRule="auto"/>
        <w:rPr>
          <w:color w:val="auto"/>
          <w:sz w:val="24"/>
          <w:highlight w:val="none"/>
        </w:rPr>
      </w:pPr>
      <w:r>
        <w:rPr>
          <w:rFonts w:hint="eastAsia"/>
          <w:color w:val="auto"/>
          <w:sz w:val="24"/>
          <w:highlight w:val="none"/>
        </w:rPr>
        <w:t>致：</w:t>
      </w:r>
      <w:r>
        <w:rPr>
          <w:rFonts w:hint="eastAsia"/>
          <w:color w:val="auto"/>
          <w:sz w:val="24"/>
          <w:highlight w:val="none"/>
          <w:u w:val="single"/>
        </w:rPr>
        <w:t xml:space="preserve">           （招标人）</w:t>
      </w:r>
    </w:p>
    <w:p w14:paraId="4E7E6566">
      <w:pPr>
        <w:adjustRightInd w:val="0"/>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我方参加你方的</w:t>
      </w:r>
      <w:r>
        <w:rPr>
          <w:rFonts w:hint="eastAsia" w:ascii="宋体" w:hAnsi="宋体"/>
          <w:color w:val="auto"/>
          <w:sz w:val="24"/>
          <w:highlight w:val="none"/>
          <w:u w:val="single"/>
        </w:rPr>
        <w:t xml:space="preserve">                   </w:t>
      </w:r>
      <w:r>
        <w:rPr>
          <w:rFonts w:hint="eastAsia" w:ascii="宋体" w:hAnsi="宋体"/>
          <w:color w:val="auto"/>
          <w:sz w:val="24"/>
          <w:highlight w:val="none"/>
        </w:rPr>
        <w:t>（以下简称“本工程”）的投标，现我方法定代表人向你方慎重承诺：</w:t>
      </w:r>
    </w:p>
    <w:p w14:paraId="4E7E6567">
      <w:pPr>
        <w:widowControl/>
        <w:adjustRightInd w:val="0"/>
        <w:snapToGrid w:val="0"/>
        <w:spacing w:line="440" w:lineRule="exact"/>
        <w:ind w:firstLine="468" w:firstLineChars="195"/>
        <w:jc w:val="left"/>
        <w:rPr>
          <w:rFonts w:ascii="宋体" w:hAnsi="宋体"/>
          <w:color w:val="auto"/>
          <w:sz w:val="24"/>
          <w:highlight w:val="none"/>
        </w:rPr>
      </w:pPr>
      <w:r>
        <w:rPr>
          <w:rFonts w:hint="eastAsia" w:ascii="宋体" w:hAnsi="宋体"/>
          <w:color w:val="auto"/>
          <w:sz w:val="24"/>
          <w:highlight w:val="none"/>
        </w:rPr>
        <w:t>1、我方递交的投标文件中的所有资料都是真实可信的，没有弄虚作假。</w:t>
      </w:r>
    </w:p>
    <w:p w14:paraId="4E7E6568">
      <w:pPr>
        <w:widowControl/>
        <w:adjustRightInd w:val="0"/>
        <w:snapToGrid w:val="0"/>
        <w:spacing w:line="440" w:lineRule="exact"/>
        <w:ind w:firstLine="468" w:firstLineChars="195"/>
        <w:jc w:val="left"/>
        <w:rPr>
          <w:rFonts w:ascii="宋体" w:hAnsi="宋体"/>
          <w:color w:val="auto"/>
          <w:sz w:val="24"/>
          <w:highlight w:val="none"/>
        </w:rPr>
      </w:pPr>
      <w:r>
        <w:rPr>
          <w:rFonts w:hint="eastAsia" w:ascii="宋体" w:hAnsi="宋体"/>
          <w:color w:val="auto"/>
          <w:sz w:val="24"/>
          <w:highlight w:val="none"/>
        </w:rPr>
        <w:t>2、我方不组织、不参与串标围标，没有出借资质等违法违规行为。</w:t>
      </w:r>
    </w:p>
    <w:p w14:paraId="4E7E6569">
      <w:pPr>
        <w:spacing w:line="500" w:lineRule="exact"/>
        <w:ind w:left="-4" w:right="-193" w:rightChars="-92" w:firstLine="482" w:firstLineChars="200"/>
        <w:rPr>
          <w:rFonts w:ascii="宋体" w:hAnsi="宋体"/>
          <w:b/>
          <w:bCs/>
          <w:color w:val="auto"/>
          <w:sz w:val="24"/>
          <w:highlight w:val="none"/>
        </w:rPr>
      </w:pPr>
      <w:r>
        <w:rPr>
          <w:rFonts w:hint="eastAsia" w:ascii="宋体" w:hAnsi="宋体"/>
          <w:b/>
          <w:bCs/>
          <w:color w:val="auto"/>
          <w:sz w:val="24"/>
          <w:highlight w:val="none"/>
        </w:rPr>
        <w:t>3、如我方中标，承诺施工</w:t>
      </w:r>
      <w:r>
        <w:rPr>
          <w:rFonts w:hint="eastAsia"/>
          <w:b/>
          <w:color w:val="auto"/>
          <w:sz w:val="24"/>
          <w:highlight w:val="none"/>
        </w:rPr>
        <w:t>工期、质量要求及工艺要求等以你方要求为准、保修期限为两年。</w:t>
      </w:r>
    </w:p>
    <w:p w14:paraId="4E7E656A">
      <w:pPr>
        <w:adjustRightInd w:val="0"/>
        <w:snapToGrid w:val="0"/>
        <w:spacing w:line="440" w:lineRule="exact"/>
        <w:ind w:firstLine="482" w:firstLineChars="200"/>
        <w:rPr>
          <w:rFonts w:ascii="宋体" w:hAnsi="宋体"/>
          <w:b/>
          <w:color w:val="auto"/>
          <w:sz w:val="24"/>
          <w:highlight w:val="none"/>
        </w:rPr>
      </w:pPr>
      <w:r>
        <w:rPr>
          <w:rFonts w:hint="eastAsia"/>
          <w:b/>
          <w:bCs/>
          <w:color w:val="auto"/>
          <w:sz w:val="24"/>
          <w:highlight w:val="none"/>
        </w:rPr>
        <w:t>4、</w:t>
      </w:r>
      <w:r>
        <w:rPr>
          <w:rFonts w:hint="eastAsia" w:ascii="宋体" w:hAnsi="宋体"/>
          <w:b/>
          <w:color w:val="auto"/>
          <w:sz w:val="24"/>
          <w:highlight w:val="none"/>
        </w:rPr>
        <w:t>如我方中标，我方将</w:t>
      </w:r>
      <w:r>
        <w:rPr>
          <w:rFonts w:hint="eastAsia"/>
          <w:b/>
          <w:bCs/>
          <w:color w:val="auto"/>
          <w:sz w:val="24"/>
          <w:highlight w:val="none"/>
        </w:rPr>
        <w:t>对施工现场的安全生产负总责。若发生安全事故，一切责任由我方承担。</w:t>
      </w:r>
    </w:p>
    <w:p w14:paraId="4E7E656B">
      <w:pPr>
        <w:adjustRightInd w:val="0"/>
        <w:snapToGrid w:val="0"/>
        <w:spacing w:line="440" w:lineRule="exact"/>
        <w:ind w:firstLine="482" w:firstLineChars="200"/>
        <w:rPr>
          <w:rFonts w:ascii="宋体" w:hAnsi="宋体"/>
          <w:b/>
          <w:color w:val="auto"/>
          <w:sz w:val="24"/>
          <w:highlight w:val="none"/>
        </w:rPr>
      </w:pPr>
      <w:r>
        <w:rPr>
          <w:rFonts w:hint="eastAsia" w:ascii="宋体" w:hAnsi="宋体"/>
          <w:b/>
          <w:color w:val="auto"/>
          <w:sz w:val="24"/>
          <w:highlight w:val="none"/>
        </w:rPr>
        <w:t>我方承诺：违反上述任何一条承诺，自愿意接受当地建设行政主管部门作出的依法处罚，包括同意你方取消我方中标资格。</w:t>
      </w:r>
    </w:p>
    <w:p w14:paraId="4E7E656C">
      <w:pPr>
        <w:spacing w:line="360" w:lineRule="auto"/>
        <w:ind w:right="-512" w:rightChars="-244" w:firstLine="3720" w:firstLineChars="1550"/>
        <w:rPr>
          <w:rFonts w:ascii="宋体" w:hAnsi="宋体"/>
          <w:color w:val="auto"/>
          <w:sz w:val="24"/>
          <w:highlight w:val="none"/>
        </w:rPr>
      </w:pPr>
    </w:p>
    <w:p w14:paraId="4E7E656D">
      <w:pPr>
        <w:spacing w:line="360" w:lineRule="auto"/>
        <w:ind w:right="-512" w:rightChars="-244" w:firstLine="3720" w:firstLineChars="1550"/>
        <w:rPr>
          <w:rFonts w:ascii="宋体" w:hAnsi="宋体"/>
          <w:color w:val="auto"/>
          <w:sz w:val="24"/>
          <w:highlight w:val="none"/>
        </w:rPr>
      </w:pPr>
      <w:r>
        <w:rPr>
          <w:rFonts w:hint="eastAsia" w:ascii="宋体" w:hAnsi="宋体"/>
          <w:color w:val="auto"/>
          <w:sz w:val="24"/>
          <w:highlight w:val="none"/>
        </w:rPr>
        <w:t>投标人（盖单位公章）：</w:t>
      </w:r>
      <w:r>
        <w:rPr>
          <w:rFonts w:ascii="宋体" w:hAnsi="宋体"/>
          <w:color w:val="auto"/>
          <w:sz w:val="24"/>
          <w:highlight w:val="none"/>
          <w:u w:val="single"/>
        </w:rPr>
        <w:t xml:space="preserve">                 </w:t>
      </w:r>
      <w:r>
        <w:rPr>
          <w:rFonts w:ascii="宋体" w:hAnsi="宋体"/>
          <w:color w:val="auto"/>
          <w:sz w:val="24"/>
          <w:highlight w:val="none"/>
        </w:rPr>
        <w:t xml:space="preserve"> </w:t>
      </w:r>
    </w:p>
    <w:p w14:paraId="4E7E656E">
      <w:pPr>
        <w:tabs>
          <w:tab w:val="left" w:pos="4320"/>
        </w:tabs>
        <w:spacing w:line="360" w:lineRule="auto"/>
        <w:ind w:right="-512" w:rightChars="-244" w:firstLine="3720" w:firstLineChars="1550"/>
        <w:rPr>
          <w:rFonts w:ascii="宋体" w:hAnsi="宋体"/>
          <w:color w:val="auto"/>
          <w:sz w:val="24"/>
          <w:highlight w:val="none"/>
        </w:rPr>
      </w:pPr>
      <w:r>
        <w:rPr>
          <w:rFonts w:hint="eastAsia" w:ascii="宋体" w:hAnsi="宋体"/>
          <w:color w:val="auto"/>
          <w:sz w:val="24"/>
          <w:highlight w:val="none"/>
        </w:rPr>
        <w:t>法定代表人（签字或盖章）：</w:t>
      </w:r>
      <w:r>
        <w:rPr>
          <w:rFonts w:ascii="宋体" w:hAnsi="宋体"/>
          <w:color w:val="auto"/>
          <w:sz w:val="24"/>
          <w:highlight w:val="none"/>
          <w:u w:val="single"/>
        </w:rPr>
        <w:t xml:space="preserve">               </w:t>
      </w:r>
      <w:r>
        <w:rPr>
          <w:rFonts w:ascii="宋体" w:hAnsi="宋体"/>
          <w:color w:val="auto"/>
          <w:sz w:val="24"/>
          <w:highlight w:val="none"/>
        </w:rPr>
        <w:t xml:space="preserve"> </w:t>
      </w:r>
    </w:p>
    <w:p w14:paraId="4E7E656F">
      <w:pPr>
        <w:spacing w:line="360" w:lineRule="auto"/>
        <w:jc w:val="center"/>
        <w:rPr>
          <w:rFonts w:ascii="宋体" w:hAnsi="宋体"/>
          <w:color w:val="auto"/>
          <w:sz w:val="36"/>
          <w:highlight w:val="none"/>
        </w:rPr>
      </w:pPr>
      <w:r>
        <w:rPr>
          <w:rFonts w:ascii="宋体" w:hAnsi="宋体"/>
          <w:color w:val="auto"/>
          <w:highlight w:val="non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ascii="宋体" w:hAnsi="宋体"/>
          <w:color w:val="auto"/>
          <w:highlight w:val="none"/>
          <w:u w:val="single"/>
        </w:rPr>
        <w:t xml:space="preserve">      </w:t>
      </w:r>
      <w:r>
        <w:rPr>
          <w:rFonts w:hint="eastAsia" w:ascii="宋体" w:hAnsi="宋体"/>
          <w:color w:val="auto"/>
          <w:highlight w:val="none"/>
        </w:rPr>
        <w:t>月</w:t>
      </w:r>
      <w:r>
        <w:rPr>
          <w:rFonts w:ascii="宋体" w:hAnsi="宋体"/>
          <w:color w:val="auto"/>
          <w:highlight w:val="none"/>
          <w:u w:val="single"/>
        </w:rPr>
        <w:t xml:space="preserve">     </w:t>
      </w:r>
      <w:r>
        <w:rPr>
          <w:rFonts w:hint="eastAsia" w:ascii="宋体" w:hAnsi="宋体"/>
          <w:color w:val="auto"/>
          <w:highlight w:val="none"/>
        </w:rPr>
        <w:t>日</w:t>
      </w:r>
    </w:p>
    <w:p w14:paraId="4E7E6570">
      <w:pPr>
        <w:snapToGrid w:val="0"/>
        <w:spacing w:line="360" w:lineRule="auto"/>
        <w:jc w:val="center"/>
        <w:rPr>
          <w:b/>
          <w:color w:val="auto"/>
          <w:sz w:val="32"/>
          <w:highlight w:val="none"/>
        </w:rPr>
      </w:pPr>
    </w:p>
    <w:p w14:paraId="4E7E6571">
      <w:pPr>
        <w:snapToGrid w:val="0"/>
        <w:spacing w:line="360" w:lineRule="auto"/>
        <w:jc w:val="center"/>
        <w:rPr>
          <w:b/>
          <w:color w:val="auto"/>
          <w:sz w:val="32"/>
          <w:highlight w:val="none"/>
        </w:rPr>
      </w:pPr>
    </w:p>
    <w:p w14:paraId="4E7E6572">
      <w:pPr>
        <w:snapToGrid w:val="0"/>
        <w:spacing w:line="360" w:lineRule="auto"/>
        <w:jc w:val="center"/>
        <w:rPr>
          <w:b/>
          <w:color w:val="auto"/>
          <w:sz w:val="32"/>
          <w:highlight w:val="none"/>
        </w:rPr>
      </w:pPr>
    </w:p>
    <w:p w14:paraId="4E7E6573">
      <w:pPr>
        <w:snapToGrid w:val="0"/>
        <w:spacing w:line="360" w:lineRule="auto"/>
        <w:jc w:val="center"/>
        <w:rPr>
          <w:b/>
          <w:color w:val="auto"/>
          <w:sz w:val="32"/>
          <w:highlight w:val="none"/>
        </w:rPr>
      </w:pPr>
    </w:p>
    <w:p w14:paraId="4E7E6574">
      <w:pPr>
        <w:snapToGrid w:val="0"/>
        <w:spacing w:line="360" w:lineRule="auto"/>
        <w:jc w:val="center"/>
        <w:rPr>
          <w:b/>
          <w:color w:val="auto"/>
          <w:sz w:val="32"/>
          <w:highlight w:val="none"/>
        </w:rPr>
      </w:pPr>
    </w:p>
    <w:p w14:paraId="4E7E6575">
      <w:pPr>
        <w:snapToGrid w:val="0"/>
        <w:spacing w:line="360" w:lineRule="auto"/>
        <w:jc w:val="center"/>
        <w:rPr>
          <w:b/>
          <w:color w:val="auto"/>
          <w:sz w:val="32"/>
          <w:highlight w:val="none"/>
        </w:rPr>
      </w:pPr>
    </w:p>
    <w:p w14:paraId="4E7E6576">
      <w:pPr>
        <w:snapToGrid w:val="0"/>
        <w:spacing w:line="360" w:lineRule="auto"/>
        <w:jc w:val="center"/>
        <w:rPr>
          <w:b/>
          <w:color w:val="auto"/>
          <w:sz w:val="32"/>
          <w:highlight w:val="none"/>
        </w:rPr>
      </w:pPr>
    </w:p>
    <w:p w14:paraId="4E7E6577">
      <w:pPr>
        <w:snapToGrid w:val="0"/>
        <w:spacing w:line="360" w:lineRule="auto"/>
        <w:jc w:val="center"/>
        <w:rPr>
          <w:b/>
          <w:color w:val="auto"/>
          <w:sz w:val="32"/>
          <w:highlight w:val="none"/>
        </w:rPr>
      </w:pPr>
    </w:p>
    <w:p w14:paraId="4E7E6578">
      <w:pPr>
        <w:snapToGrid w:val="0"/>
        <w:spacing w:line="360" w:lineRule="auto"/>
        <w:jc w:val="center"/>
        <w:rPr>
          <w:b/>
          <w:color w:val="auto"/>
          <w:sz w:val="32"/>
          <w:highlight w:val="none"/>
        </w:rPr>
      </w:pPr>
    </w:p>
    <w:p w14:paraId="4E7E6579">
      <w:pPr>
        <w:snapToGrid w:val="0"/>
        <w:spacing w:line="360" w:lineRule="auto"/>
        <w:jc w:val="center"/>
        <w:rPr>
          <w:b/>
          <w:color w:val="auto"/>
          <w:sz w:val="32"/>
          <w:highlight w:val="none"/>
        </w:rPr>
      </w:pPr>
    </w:p>
    <w:p w14:paraId="4E7E657A">
      <w:pPr>
        <w:snapToGrid w:val="0"/>
        <w:spacing w:line="360" w:lineRule="auto"/>
        <w:jc w:val="center"/>
        <w:rPr>
          <w:b/>
          <w:color w:val="auto"/>
          <w:sz w:val="32"/>
          <w:highlight w:val="none"/>
        </w:rPr>
      </w:pPr>
    </w:p>
    <w:p w14:paraId="4E7E657B">
      <w:pPr>
        <w:snapToGrid w:val="0"/>
        <w:spacing w:line="360" w:lineRule="auto"/>
        <w:jc w:val="center"/>
        <w:rPr>
          <w:b/>
          <w:color w:val="auto"/>
          <w:sz w:val="32"/>
          <w:highlight w:val="none"/>
        </w:rPr>
      </w:pPr>
    </w:p>
    <w:p w14:paraId="4E7E657C">
      <w:pPr>
        <w:snapToGrid w:val="0"/>
        <w:spacing w:line="360" w:lineRule="auto"/>
        <w:jc w:val="center"/>
        <w:rPr>
          <w:b/>
          <w:color w:val="auto"/>
          <w:sz w:val="32"/>
          <w:highlight w:val="none"/>
        </w:rPr>
      </w:pPr>
    </w:p>
    <w:p w14:paraId="4E7E657D">
      <w:pPr>
        <w:snapToGrid w:val="0"/>
        <w:spacing w:line="360" w:lineRule="auto"/>
        <w:jc w:val="center"/>
        <w:rPr>
          <w:rFonts w:eastAsia="黑体"/>
          <w:b/>
          <w:bCs/>
          <w:color w:val="auto"/>
          <w:sz w:val="30"/>
          <w:highlight w:val="none"/>
        </w:rPr>
      </w:pPr>
      <w:r>
        <w:rPr>
          <w:rFonts w:hint="eastAsia"/>
          <w:b/>
          <w:color w:val="auto"/>
          <w:sz w:val="32"/>
          <w:highlight w:val="none"/>
        </w:rPr>
        <w:t>远程开标承诺书</w:t>
      </w:r>
    </w:p>
    <w:p w14:paraId="4E7E657E">
      <w:pPr>
        <w:snapToGrid w:val="0"/>
        <w:spacing w:line="360" w:lineRule="auto"/>
        <w:rPr>
          <w:color w:val="auto"/>
          <w:szCs w:val="21"/>
          <w:highlight w:val="none"/>
        </w:rPr>
      </w:pPr>
      <w:r>
        <w:rPr>
          <w:rFonts w:hint="eastAsia"/>
          <w:color w:val="auto"/>
          <w:szCs w:val="21"/>
          <w:highlight w:val="none"/>
        </w:rPr>
        <w:t>致：</w:t>
      </w:r>
      <w:r>
        <w:rPr>
          <w:rFonts w:hint="eastAsia"/>
          <w:color w:val="auto"/>
          <w:szCs w:val="21"/>
          <w:highlight w:val="none"/>
          <w:u w:val="single"/>
        </w:rPr>
        <w:t xml:space="preserve">           （招标人）</w:t>
      </w:r>
    </w:p>
    <w:p w14:paraId="4E7E657F">
      <w:pPr>
        <w:snapToGrid w:val="0"/>
        <w:spacing w:line="360" w:lineRule="auto"/>
        <w:ind w:firstLine="470"/>
        <w:rPr>
          <w:color w:val="auto"/>
          <w:szCs w:val="21"/>
          <w:highlight w:val="none"/>
        </w:rPr>
      </w:pPr>
      <w:r>
        <w:rPr>
          <w:rFonts w:hint="eastAsia"/>
          <w:color w:val="auto"/>
          <w:szCs w:val="21"/>
          <w:highlight w:val="none"/>
        </w:rPr>
        <w:t>我方郑重承诺：遵循公开、公平、公正和诚实守信的原则，参加本次远程开标会议，是我方真实意思的表达。</w:t>
      </w:r>
    </w:p>
    <w:p w14:paraId="4E7E6580">
      <w:pPr>
        <w:snapToGrid w:val="0"/>
        <w:spacing w:line="360" w:lineRule="auto"/>
        <w:ind w:firstLine="470"/>
        <w:rPr>
          <w:color w:val="auto"/>
          <w:szCs w:val="21"/>
          <w:highlight w:val="none"/>
        </w:rPr>
      </w:pPr>
      <w:r>
        <w:rPr>
          <w:rFonts w:hint="eastAsia"/>
          <w:color w:val="auto"/>
          <w:szCs w:val="21"/>
          <w:highlight w:val="none"/>
        </w:rPr>
        <w:t>一、不出借、买卖、伪造、涂改企业和从业人员的资质证书、营业执照、资格业绩、印章以及其他相关资信证明文件，严禁其他企业或个人以我公司的名义投标。</w:t>
      </w:r>
    </w:p>
    <w:p w14:paraId="4E7E6581">
      <w:pPr>
        <w:snapToGrid w:val="0"/>
        <w:spacing w:line="360" w:lineRule="auto"/>
        <w:ind w:firstLine="470"/>
        <w:rPr>
          <w:color w:val="auto"/>
          <w:szCs w:val="21"/>
          <w:highlight w:val="none"/>
        </w:rPr>
      </w:pPr>
      <w:r>
        <w:rPr>
          <w:rFonts w:hint="eastAsia"/>
          <w:color w:val="auto"/>
          <w:szCs w:val="21"/>
          <w:highlight w:val="none"/>
        </w:rPr>
        <w:t>二、严格遵守法律、法规和招标文件规定的投标程序。不隐瞒真实情况，不弄虚作假，不骗取投标和中标资格。</w:t>
      </w:r>
    </w:p>
    <w:p w14:paraId="4E7E6582">
      <w:pPr>
        <w:snapToGrid w:val="0"/>
        <w:spacing w:line="360" w:lineRule="auto"/>
        <w:ind w:firstLine="470"/>
        <w:rPr>
          <w:color w:val="auto"/>
          <w:szCs w:val="21"/>
          <w:highlight w:val="none"/>
        </w:rPr>
      </w:pPr>
      <w:r>
        <w:rPr>
          <w:rFonts w:hint="eastAsia"/>
          <w:color w:val="auto"/>
          <w:szCs w:val="21"/>
          <w:highlight w:val="none"/>
        </w:rPr>
        <w:t>三、坚决抵制和杜绝串标、围标、哄抬报价、贿赂、回扣等违法投标和不正当竞争行为。</w:t>
      </w:r>
    </w:p>
    <w:p w14:paraId="4E7E6583">
      <w:pPr>
        <w:snapToGrid w:val="0"/>
        <w:spacing w:line="360" w:lineRule="auto"/>
        <w:ind w:firstLine="470"/>
        <w:rPr>
          <w:color w:val="auto"/>
          <w:szCs w:val="21"/>
          <w:highlight w:val="none"/>
        </w:rPr>
      </w:pPr>
      <w:r>
        <w:rPr>
          <w:rFonts w:hint="eastAsia"/>
          <w:color w:val="auto"/>
          <w:szCs w:val="21"/>
          <w:highlight w:val="none"/>
        </w:rPr>
        <w:t>四、依法经营，公平竞争，不采取违法、违规或不正当手段损害、侵犯同行企业的正当权益。</w:t>
      </w:r>
    </w:p>
    <w:p w14:paraId="4E7E6584">
      <w:pPr>
        <w:snapToGrid w:val="0"/>
        <w:spacing w:line="360" w:lineRule="auto"/>
        <w:ind w:firstLine="470"/>
        <w:rPr>
          <w:color w:val="auto"/>
          <w:szCs w:val="21"/>
          <w:highlight w:val="none"/>
        </w:rPr>
      </w:pPr>
      <w:r>
        <w:rPr>
          <w:rFonts w:hint="eastAsia"/>
          <w:color w:val="auto"/>
          <w:szCs w:val="21"/>
          <w:highlight w:val="none"/>
        </w:rPr>
        <w:t>五、遵守指令、不擅离职守。开标评标过程中，我方将坚持全程参加开评标会议，积极响应招标人的指令和操作要求，不擅离职守，始终保持通讯顺畅，因我方原因导致10分钟内无法与管理端建立起联系的，即视为放弃交互的权利，我方认可招标人任意处置决定，接受包括终止投标资格在内的任何处理结果。</w:t>
      </w:r>
    </w:p>
    <w:p w14:paraId="4E7E6585">
      <w:pPr>
        <w:snapToGrid w:val="0"/>
        <w:spacing w:line="360" w:lineRule="auto"/>
        <w:ind w:firstLine="470"/>
        <w:rPr>
          <w:color w:val="auto"/>
          <w:szCs w:val="21"/>
          <w:highlight w:val="none"/>
        </w:rPr>
      </w:pPr>
      <w:r>
        <w:rPr>
          <w:rFonts w:hint="eastAsia"/>
          <w:color w:val="auto"/>
          <w:szCs w:val="21"/>
          <w:highlight w:val="none"/>
        </w:rPr>
        <w:t>六、确保设施、设备工况良好。我方将负责提前检查电力供应、网络环境和远程开标会议有关设施、设备的稳定性和安全性，因我方原因导致无法完成投标或者不能进行现场实时交互的，均由我方自行承担一切后果。</w:t>
      </w:r>
    </w:p>
    <w:p w14:paraId="4E7E6586">
      <w:pPr>
        <w:snapToGrid w:val="0"/>
        <w:spacing w:line="360" w:lineRule="auto"/>
        <w:ind w:firstLine="470"/>
        <w:rPr>
          <w:color w:val="auto"/>
          <w:szCs w:val="21"/>
          <w:highlight w:val="none"/>
        </w:rPr>
      </w:pPr>
      <w:r>
        <w:rPr>
          <w:rFonts w:hint="eastAsia"/>
          <w:color w:val="auto"/>
          <w:szCs w:val="21"/>
          <w:highlight w:val="none"/>
        </w:rPr>
        <w:t>七、不向招标人或评标委员会成员或相关人员行贿，以牟取中标。</w:t>
      </w:r>
    </w:p>
    <w:p w14:paraId="4E7E6587">
      <w:pPr>
        <w:snapToGrid w:val="0"/>
        <w:spacing w:line="360" w:lineRule="auto"/>
        <w:ind w:firstLine="470"/>
        <w:rPr>
          <w:color w:val="auto"/>
          <w:szCs w:val="21"/>
          <w:highlight w:val="none"/>
        </w:rPr>
      </w:pPr>
      <w:r>
        <w:rPr>
          <w:rFonts w:hint="eastAsia"/>
          <w:color w:val="auto"/>
          <w:szCs w:val="21"/>
          <w:highlight w:val="none"/>
        </w:rPr>
        <w:t>八、我方将在法律、法规框架允许的范围内就有关评审过程中的事项向管理人员提出咨询或疑问，如需要提出现场异议的，将严格按照《江苏省房屋建筑和市政基础设施工程招标投标活动异议与投诉处理实施办法》（苏建规字</w:t>
      </w:r>
      <w:r>
        <w:rPr>
          <w:rFonts w:hint="eastAsia" w:cs="宋体"/>
          <w:color w:val="auto"/>
          <w:szCs w:val="21"/>
          <w:highlight w:val="none"/>
        </w:rPr>
        <w:t>〔2016〕</w:t>
      </w:r>
      <w:r>
        <w:rPr>
          <w:rFonts w:hint="eastAsia"/>
          <w:color w:val="auto"/>
          <w:szCs w:val="21"/>
          <w:highlight w:val="none"/>
        </w:rPr>
        <w:t>4号）规定，以书面方式提出（加盖企业印鉴后通过网络传输扫描件）。不在招投标活动中虚假投诉。</w:t>
      </w:r>
    </w:p>
    <w:p w14:paraId="4E7E6588">
      <w:pPr>
        <w:snapToGrid w:val="0"/>
        <w:spacing w:line="360" w:lineRule="auto"/>
        <w:ind w:firstLine="470"/>
        <w:rPr>
          <w:color w:val="auto"/>
          <w:szCs w:val="21"/>
          <w:highlight w:val="none"/>
        </w:rPr>
      </w:pPr>
    </w:p>
    <w:p w14:paraId="4E7E6589">
      <w:pPr>
        <w:snapToGrid w:val="0"/>
        <w:spacing w:line="360" w:lineRule="auto"/>
        <w:ind w:firstLine="470"/>
        <w:rPr>
          <w:color w:val="auto"/>
          <w:szCs w:val="21"/>
          <w:highlight w:val="none"/>
        </w:rPr>
      </w:pPr>
      <w:r>
        <w:rPr>
          <w:rFonts w:hint="eastAsia"/>
          <w:color w:val="auto"/>
          <w:szCs w:val="21"/>
          <w:highlight w:val="none"/>
        </w:rPr>
        <w:t>我方若有违反承诺内容的行为，自愿接受取消招投标资格、将不良行为记录记入档案等有关处理，并承担相应的法律责任。给招标人造成损失的，依法承担赔偿责任。</w:t>
      </w:r>
    </w:p>
    <w:p w14:paraId="4E7E658A">
      <w:pPr>
        <w:snapToGrid w:val="0"/>
        <w:spacing w:line="360" w:lineRule="auto"/>
        <w:ind w:firstLine="470"/>
        <w:rPr>
          <w:color w:val="auto"/>
          <w:szCs w:val="21"/>
          <w:highlight w:val="none"/>
        </w:rPr>
      </w:pPr>
    </w:p>
    <w:p w14:paraId="4E7E658B">
      <w:pPr>
        <w:snapToGrid w:val="0"/>
        <w:spacing w:line="360" w:lineRule="auto"/>
        <w:ind w:firstLine="470"/>
        <w:rPr>
          <w:color w:val="auto"/>
          <w:szCs w:val="21"/>
          <w:highlight w:val="none"/>
        </w:rPr>
      </w:pPr>
      <w:r>
        <w:rPr>
          <w:rFonts w:hint="eastAsia"/>
          <w:color w:val="auto"/>
          <w:szCs w:val="21"/>
          <w:highlight w:val="none"/>
        </w:rPr>
        <w:t>承 诺 单 位（盖章）：</w:t>
      </w:r>
    </w:p>
    <w:p w14:paraId="4E7E658C">
      <w:pPr>
        <w:snapToGrid w:val="0"/>
        <w:spacing w:line="360" w:lineRule="auto"/>
        <w:ind w:firstLine="470"/>
        <w:rPr>
          <w:color w:val="auto"/>
          <w:szCs w:val="21"/>
          <w:highlight w:val="none"/>
        </w:rPr>
      </w:pPr>
    </w:p>
    <w:p w14:paraId="4E7E658D">
      <w:pPr>
        <w:snapToGrid w:val="0"/>
        <w:spacing w:line="360" w:lineRule="auto"/>
        <w:ind w:firstLine="470"/>
        <w:rPr>
          <w:color w:val="auto"/>
          <w:szCs w:val="21"/>
          <w:highlight w:val="none"/>
        </w:rPr>
      </w:pPr>
      <w:r>
        <w:rPr>
          <w:rFonts w:hint="eastAsia"/>
          <w:color w:val="auto"/>
          <w:szCs w:val="21"/>
          <w:highlight w:val="none"/>
        </w:rPr>
        <w:t>法定代表人（签名）：</w:t>
      </w:r>
    </w:p>
    <w:p w14:paraId="4E7E658E">
      <w:pPr>
        <w:snapToGrid w:val="0"/>
        <w:spacing w:line="360" w:lineRule="auto"/>
        <w:ind w:firstLine="470"/>
        <w:rPr>
          <w:color w:val="auto"/>
          <w:szCs w:val="21"/>
          <w:highlight w:val="none"/>
        </w:rPr>
      </w:pPr>
      <w:r>
        <w:rPr>
          <w:rFonts w:hint="eastAsia"/>
          <w:color w:val="auto"/>
          <w:szCs w:val="21"/>
          <w:highlight w:val="none"/>
        </w:rPr>
        <w:t xml:space="preserve">授权委托人（签名）：     </w:t>
      </w:r>
    </w:p>
    <w:p w14:paraId="4E7E658F">
      <w:pPr>
        <w:spacing w:line="360" w:lineRule="auto"/>
        <w:jc w:val="center"/>
        <w:rPr>
          <w:color w:val="auto"/>
          <w:szCs w:val="21"/>
          <w:highlight w:val="none"/>
        </w:rPr>
      </w:pPr>
      <w:r>
        <w:rPr>
          <w:rFonts w:hint="eastAsia"/>
          <w:color w:val="auto"/>
          <w:szCs w:val="21"/>
          <w:highlight w:val="none"/>
        </w:rPr>
        <w:t>年     月     日</w:t>
      </w:r>
    </w:p>
    <w:p w14:paraId="4E7E6590">
      <w:pPr>
        <w:jc w:val="center"/>
        <w:rPr>
          <w:rFonts w:ascii="宋体" w:cs="宋体"/>
          <w:color w:val="auto"/>
          <w:kern w:val="0"/>
          <w:sz w:val="36"/>
          <w:szCs w:val="36"/>
          <w:highlight w:val="none"/>
        </w:rPr>
      </w:pPr>
    </w:p>
    <w:p w14:paraId="4E7E6591">
      <w:pPr>
        <w:jc w:val="center"/>
        <w:rPr>
          <w:rFonts w:ascii="宋体" w:cs="宋体"/>
          <w:color w:val="auto"/>
          <w:kern w:val="0"/>
          <w:sz w:val="36"/>
          <w:szCs w:val="36"/>
          <w:highlight w:val="none"/>
        </w:rPr>
      </w:pPr>
    </w:p>
    <w:bookmarkEnd w:id="52"/>
    <w:bookmarkEnd w:id="53"/>
    <w:p w14:paraId="4E7E6592">
      <w:pPr>
        <w:rPr>
          <w:rFonts w:ascii="宋体" w:cs="宋体"/>
          <w:color w:val="auto"/>
          <w:kern w:val="0"/>
          <w:sz w:val="24"/>
          <w:highlight w:val="none"/>
        </w:rPr>
      </w:pPr>
    </w:p>
    <w:p w14:paraId="4E7E6593">
      <w:pPr>
        <w:jc w:val="center"/>
        <w:rPr>
          <w:rFonts w:ascii="宋体" w:cs="宋体"/>
          <w:color w:val="auto"/>
          <w:sz w:val="36"/>
          <w:szCs w:val="36"/>
          <w:highlight w:val="none"/>
        </w:rPr>
      </w:pPr>
    </w:p>
    <w:sectPr>
      <w:footerReference r:id="rId6" w:type="first"/>
      <w:footerReference r:id="rId4" w:type="default"/>
      <w:footerReference r:id="rId5" w:type="even"/>
      <w:pgSz w:w="11907" w:h="16840"/>
      <w:pgMar w:top="1304" w:right="927" w:bottom="1225" w:left="1134" w:header="720" w:footer="720" w:gutter="0"/>
      <w:pgNumType w:chapStyle="1"/>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711E">
    <w:pPr>
      <w:pStyle w:val="2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DD021">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D5DD021">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E65A0">
    <w:pPr>
      <w:pStyle w:val="2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7FE4A">
                          <w:pPr>
                            <w:pStyle w:val="26"/>
                            <w:rPr>
                              <w:rStyle w:val="39"/>
                            </w:rPr>
                          </w:pPr>
                          <w:r>
                            <w:rPr>
                              <w:rStyle w:val="39"/>
                            </w:rPr>
                            <w:fldChar w:fldCharType="begin"/>
                          </w:r>
                          <w:r>
                            <w:rPr>
                              <w:rStyle w:val="39"/>
                            </w:rPr>
                            <w:instrText xml:space="preserve">PAGE  </w:instrText>
                          </w:r>
                          <w:r>
                            <w:fldChar w:fldCharType="separate"/>
                          </w:r>
                          <w:r>
                            <w:rPr>
                              <w:rStyle w:val="39"/>
                            </w:rP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47FE4A">
                    <w:pPr>
                      <w:pStyle w:val="26"/>
                      <w:rPr>
                        <w:rStyle w:val="39"/>
                      </w:rPr>
                    </w:pPr>
                    <w:r>
                      <w:rPr>
                        <w:rStyle w:val="39"/>
                      </w:rPr>
                      <w:fldChar w:fldCharType="begin"/>
                    </w:r>
                    <w:r>
                      <w:rPr>
                        <w:rStyle w:val="39"/>
                      </w:rPr>
                      <w:instrText xml:space="preserve">PAGE  </w:instrText>
                    </w:r>
                    <w:r>
                      <w:fldChar w:fldCharType="separate"/>
                    </w:r>
                    <w:r>
                      <w:rPr>
                        <w:rStyle w:val="39"/>
                      </w:rPr>
                      <w:t>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E659D">
    <w:pPr>
      <w:pStyle w:val="26"/>
      <w:framePr w:wrap="around" w:vAnchor="text" w:hAnchor="margin" w:xAlign="center" w:y="1"/>
      <w:rPr>
        <w:rStyle w:val="39"/>
      </w:rPr>
    </w:pPr>
    <w:r>
      <w:rPr>
        <w:rStyle w:val="39"/>
      </w:rPr>
      <w:fldChar w:fldCharType="begin"/>
    </w:r>
    <w:r>
      <w:rPr>
        <w:rStyle w:val="39"/>
      </w:rPr>
      <w:instrText xml:space="preserve">PAGE  </w:instrText>
    </w:r>
    <w:r>
      <w:fldChar w:fldCharType="end"/>
    </w:r>
  </w:p>
  <w:p w14:paraId="4E7E659E">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E65A1">
    <w:pP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align>top</wp:align>
              </wp:positionV>
              <wp:extent cx="9525" cy="153670"/>
              <wp:effectExtent l="0" t="0" r="0" b="0"/>
              <wp:wrapNone/>
              <wp:docPr id="6" name="文本框6 6"/>
              <wp:cNvGraphicFramePr/>
              <a:graphic xmlns:a="http://schemas.openxmlformats.org/drawingml/2006/main">
                <a:graphicData uri="http://schemas.microsoft.com/office/word/2010/wordprocessingShape">
                  <wps:wsp>
                    <wps:cNvSpPr txBox="1"/>
                    <wps:spPr>
                      <a:xfrm>
                        <a:off x="0" y="0"/>
                        <a:ext cx="9525" cy="153670"/>
                      </a:xfrm>
                      <a:prstGeom prst="rect">
                        <a:avLst/>
                      </a:prstGeom>
                      <a:noFill/>
                      <a:ln>
                        <a:noFill/>
                      </a:ln>
                    </wps:spPr>
                    <wps:txbx>
                      <w:txbxContent>
                        <w:p w14:paraId="4E7E65A5"/>
                      </w:txbxContent>
                    </wps:txbx>
                    <wps:bodyPr wrap="none" lIns="0" tIns="0" rIns="0" bIns="0" upright="1">
                      <a:spAutoFit/>
                    </wps:bodyPr>
                  </wps:wsp>
                </a:graphicData>
              </a:graphic>
            </wp:anchor>
          </w:drawing>
        </mc:Choice>
        <mc:Fallback>
          <w:pict>
            <v:shape id="文本框6 6" o:spid="_x0000_s1026" o:spt="202" type="#_x0000_t202" style="position:absolute;left:0pt;height:12.1pt;width:0.75pt;mso-position-horizontal:center;mso-position-horizontal-relative:margin;mso-position-vertical:top;mso-wrap-style:none;z-index:251661312;mso-width-relative:page;mso-height-relative:page;" filled="f" stroked="f" coordsize="21600,21600" o:gfxdata="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FuVFjQAAAAAgEAAA8AAAAAAAAAAQAgAAAAIgAAAGRycy9kb3du&#10;cmV2LnhtbFBLAQIUABQAAAAIAIdO4kDu6QEvzgEAAJYDAAAOAAAAAAAAAAEAIAAAAB8BAABkcnMv&#10;ZTJvRG9jLnhtbFBLBQYAAAAABgAGAFkBAABfBQAAAAA=&#10;">
              <v:fill on="f" focussize="0,0"/>
              <v:stroke on="f"/>
              <v:imagedata o:title=""/>
              <o:lock v:ext="edit" aspectratio="f"/>
              <v:textbox inset="0mm,0mm,0mm,0mm" style="mso-fit-shape-to-text:t;">
                <w:txbxContent>
                  <w:p w14:paraId="4E7E65A5"/>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41BB3F"/>
    <w:multiLevelType w:val="singleLevel"/>
    <w:tmpl w:val="D641BB3F"/>
    <w:lvl w:ilvl="0" w:tentative="0">
      <w:start w:val="2"/>
      <w:numFmt w:val="decimal"/>
      <w:suff w:val="nothing"/>
      <w:lvlText w:val="（%1）"/>
      <w:lvlJc w:val="left"/>
    </w:lvl>
  </w:abstractNum>
  <w:abstractNum w:abstractNumId="1">
    <w:nsid w:val="00000005"/>
    <w:multiLevelType w:val="multilevel"/>
    <w:tmpl w:val="00000005"/>
    <w:lvl w:ilvl="0" w:tentative="0">
      <w:start w:val="1"/>
      <w:numFmt w:val="decimal"/>
      <w:lvlText w:val="4.%1"/>
      <w:lvlJc w:val="left"/>
      <w:pPr>
        <w:tabs>
          <w:tab w:val="left" w:pos="720"/>
        </w:tabs>
        <w:ind w:left="720" w:hanging="36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pStyle w:val="50"/>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2">
    <w:nsid w:val="12880FF3"/>
    <w:multiLevelType w:val="multilevel"/>
    <w:tmpl w:val="12880FF3"/>
    <w:lvl w:ilvl="0" w:tentative="0">
      <w:start w:val="1"/>
      <w:numFmt w:val="japaneseCounting"/>
      <w:lvlText w:val="%1、"/>
      <w:lvlJc w:val="left"/>
      <w:pPr>
        <w:ind w:left="1288" w:hanging="720"/>
      </w:pPr>
      <w:rPr>
        <w:rFonts w:hint="default"/>
      </w:rPr>
    </w:lvl>
    <w:lvl w:ilvl="1" w:tentative="0">
      <w:start w:val="1"/>
      <w:numFmt w:val="lowerLetter"/>
      <w:lvlText w:val="%2)"/>
      <w:lvlJc w:val="left"/>
      <w:pPr>
        <w:ind w:left="1310" w:hanging="420"/>
      </w:pPr>
    </w:lvl>
    <w:lvl w:ilvl="2" w:tentative="0">
      <w:start w:val="1"/>
      <w:numFmt w:val="lowerRoman"/>
      <w:lvlText w:val="%3."/>
      <w:lvlJc w:val="right"/>
      <w:pPr>
        <w:ind w:left="1730" w:hanging="420"/>
      </w:pPr>
    </w:lvl>
    <w:lvl w:ilvl="3" w:tentative="0">
      <w:start w:val="1"/>
      <w:numFmt w:val="decimal"/>
      <w:lvlText w:val="%4."/>
      <w:lvlJc w:val="left"/>
      <w:pPr>
        <w:ind w:left="2150" w:hanging="420"/>
      </w:pPr>
    </w:lvl>
    <w:lvl w:ilvl="4" w:tentative="0">
      <w:start w:val="1"/>
      <w:numFmt w:val="lowerLetter"/>
      <w:lvlText w:val="%5)"/>
      <w:lvlJc w:val="left"/>
      <w:pPr>
        <w:ind w:left="2570" w:hanging="420"/>
      </w:pPr>
    </w:lvl>
    <w:lvl w:ilvl="5" w:tentative="0">
      <w:start w:val="1"/>
      <w:numFmt w:val="lowerRoman"/>
      <w:lvlText w:val="%6."/>
      <w:lvlJc w:val="right"/>
      <w:pPr>
        <w:ind w:left="2990" w:hanging="420"/>
      </w:pPr>
    </w:lvl>
    <w:lvl w:ilvl="6" w:tentative="0">
      <w:start w:val="1"/>
      <w:numFmt w:val="decimal"/>
      <w:lvlText w:val="%7."/>
      <w:lvlJc w:val="left"/>
      <w:pPr>
        <w:ind w:left="3410" w:hanging="420"/>
      </w:pPr>
    </w:lvl>
    <w:lvl w:ilvl="7" w:tentative="0">
      <w:start w:val="1"/>
      <w:numFmt w:val="lowerLetter"/>
      <w:lvlText w:val="%8)"/>
      <w:lvlJc w:val="left"/>
      <w:pPr>
        <w:ind w:left="3830" w:hanging="420"/>
      </w:pPr>
    </w:lvl>
    <w:lvl w:ilvl="8" w:tentative="0">
      <w:start w:val="1"/>
      <w:numFmt w:val="lowerRoman"/>
      <w:lvlText w:val="%9."/>
      <w:lvlJc w:val="right"/>
      <w:pPr>
        <w:ind w:left="4250" w:hanging="420"/>
      </w:pPr>
    </w:lvl>
  </w:abstractNum>
  <w:abstractNum w:abstractNumId="3">
    <w:nsid w:val="6E53476C"/>
    <w:multiLevelType w:val="multilevel"/>
    <w:tmpl w:val="6E53476C"/>
    <w:lvl w:ilvl="0" w:tentative="0">
      <w:start w:val="1"/>
      <w:numFmt w:val="japaneseCounting"/>
      <w:pStyle w:val="87"/>
      <w:lvlText w:val="第%1章"/>
      <w:lvlJc w:val="left"/>
      <w:pPr>
        <w:tabs>
          <w:tab w:val="left" w:pos="1125"/>
        </w:tabs>
        <w:ind w:left="1125" w:hanging="1125"/>
      </w:pPr>
      <w:rPr>
        <w:rFonts w:hint="eastAsia"/>
      </w:rPr>
    </w:lvl>
    <w:lvl w:ilvl="1" w:tentative="0">
      <w:start w:val="1"/>
      <w:numFmt w:val="japaneseCounting"/>
      <w:lvlText w:val="%2、"/>
      <w:lvlJc w:val="left"/>
      <w:pPr>
        <w:tabs>
          <w:tab w:val="left" w:pos="1140"/>
        </w:tabs>
        <w:ind w:left="1140" w:hanging="720"/>
      </w:pPr>
      <w:rPr>
        <w:rFonts w:ascii="楷体_GB2312" w:hAnsi="楷体_GB2312" w:eastAsia="楷体_GB2312" w:cs="Times New Roman"/>
        <w:b w:val="0"/>
      </w:rPr>
    </w:lvl>
    <w:lvl w:ilvl="2" w:tentative="0">
      <w:start w:val="1"/>
      <w:numFmt w:val="japaneseCounting"/>
      <w:lvlText w:val="(%3)"/>
      <w:lvlJc w:val="left"/>
      <w:pPr>
        <w:tabs>
          <w:tab w:val="left" w:pos="1590"/>
        </w:tabs>
        <w:ind w:left="1590" w:hanging="750"/>
      </w:pPr>
      <w:rPr>
        <w:rFonts w:hint="eastAsia"/>
        <w:b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mNDk4ZTA0MTc5ZGM2MDExY2FjMDZmOThmOTg5N2EifQ=="/>
    <w:docVar w:name="KSO_WPS_MARK_KEY" w:val="195ca3af-214a-4705-94aa-704fb38136e9"/>
  </w:docVars>
  <w:rsids>
    <w:rsidRoot w:val="002E495A"/>
    <w:rsid w:val="000011F7"/>
    <w:rsid w:val="00005C68"/>
    <w:rsid w:val="00033087"/>
    <w:rsid w:val="00040495"/>
    <w:rsid w:val="000422A7"/>
    <w:rsid w:val="0005321B"/>
    <w:rsid w:val="0005531F"/>
    <w:rsid w:val="000634A1"/>
    <w:rsid w:val="00071954"/>
    <w:rsid w:val="00074450"/>
    <w:rsid w:val="000811F6"/>
    <w:rsid w:val="000934F3"/>
    <w:rsid w:val="000A7026"/>
    <w:rsid w:val="000B7343"/>
    <w:rsid w:val="000F2C25"/>
    <w:rsid w:val="000F5E36"/>
    <w:rsid w:val="000F68F2"/>
    <w:rsid w:val="0010641F"/>
    <w:rsid w:val="00106969"/>
    <w:rsid w:val="00121A5E"/>
    <w:rsid w:val="00122590"/>
    <w:rsid w:val="00153ABD"/>
    <w:rsid w:val="00172CB9"/>
    <w:rsid w:val="0018069B"/>
    <w:rsid w:val="0018268D"/>
    <w:rsid w:val="00190F45"/>
    <w:rsid w:val="00197065"/>
    <w:rsid w:val="001B1B45"/>
    <w:rsid w:val="001B5672"/>
    <w:rsid w:val="001D6901"/>
    <w:rsid w:val="001E00DD"/>
    <w:rsid w:val="001E5F9A"/>
    <w:rsid w:val="001F2A17"/>
    <w:rsid w:val="0020441A"/>
    <w:rsid w:val="00205345"/>
    <w:rsid w:val="002054F7"/>
    <w:rsid w:val="002075E3"/>
    <w:rsid w:val="00207BAB"/>
    <w:rsid w:val="00223389"/>
    <w:rsid w:val="00232C36"/>
    <w:rsid w:val="0023512C"/>
    <w:rsid w:val="002539EE"/>
    <w:rsid w:val="00254ECD"/>
    <w:rsid w:val="00284ABF"/>
    <w:rsid w:val="00286354"/>
    <w:rsid w:val="00290A41"/>
    <w:rsid w:val="00290D58"/>
    <w:rsid w:val="0029647D"/>
    <w:rsid w:val="002A4A07"/>
    <w:rsid w:val="002C5B3C"/>
    <w:rsid w:val="002E495A"/>
    <w:rsid w:val="003134F2"/>
    <w:rsid w:val="00313C38"/>
    <w:rsid w:val="003256B9"/>
    <w:rsid w:val="0033611D"/>
    <w:rsid w:val="00341E14"/>
    <w:rsid w:val="00342126"/>
    <w:rsid w:val="00363D16"/>
    <w:rsid w:val="00370505"/>
    <w:rsid w:val="003743C6"/>
    <w:rsid w:val="00384021"/>
    <w:rsid w:val="00393519"/>
    <w:rsid w:val="0039506E"/>
    <w:rsid w:val="003B4E79"/>
    <w:rsid w:val="003B673D"/>
    <w:rsid w:val="003C59C8"/>
    <w:rsid w:val="003C7A20"/>
    <w:rsid w:val="003F5008"/>
    <w:rsid w:val="004003CC"/>
    <w:rsid w:val="00407E55"/>
    <w:rsid w:val="00412772"/>
    <w:rsid w:val="00422B35"/>
    <w:rsid w:val="00425341"/>
    <w:rsid w:val="00427C02"/>
    <w:rsid w:val="00443C4B"/>
    <w:rsid w:val="00445E00"/>
    <w:rsid w:val="00447CF7"/>
    <w:rsid w:val="0045759F"/>
    <w:rsid w:val="00470A61"/>
    <w:rsid w:val="00477D1E"/>
    <w:rsid w:val="0049554D"/>
    <w:rsid w:val="004A50F7"/>
    <w:rsid w:val="004C2FCA"/>
    <w:rsid w:val="004D4CC7"/>
    <w:rsid w:val="004D6C1E"/>
    <w:rsid w:val="004D710F"/>
    <w:rsid w:val="004E2490"/>
    <w:rsid w:val="00511AF3"/>
    <w:rsid w:val="005170DA"/>
    <w:rsid w:val="00523EAE"/>
    <w:rsid w:val="00541646"/>
    <w:rsid w:val="00544E7F"/>
    <w:rsid w:val="00546E56"/>
    <w:rsid w:val="005475B1"/>
    <w:rsid w:val="005511FE"/>
    <w:rsid w:val="00566B00"/>
    <w:rsid w:val="00577081"/>
    <w:rsid w:val="00580CCA"/>
    <w:rsid w:val="00581A2F"/>
    <w:rsid w:val="005828CD"/>
    <w:rsid w:val="00584885"/>
    <w:rsid w:val="005A07A6"/>
    <w:rsid w:val="005A494D"/>
    <w:rsid w:val="005A531A"/>
    <w:rsid w:val="005B192F"/>
    <w:rsid w:val="005B7FDC"/>
    <w:rsid w:val="005E1029"/>
    <w:rsid w:val="005E5C20"/>
    <w:rsid w:val="005E68B8"/>
    <w:rsid w:val="005F1BC0"/>
    <w:rsid w:val="005F3788"/>
    <w:rsid w:val="005F7E45"/>
    <w:rsid w:val="00605FBA"/>
    <w:rsid w:val="0061679A"/>
    <w:rsid w:val="0062269C"/>
    <w:rsid w:val="00635048"/>
    <w:rsid w:val="00636454"/>
    <w:rsid w:val="00637A19"/>
    <w:rsid w:val="00652550"/>
    <w:rsid w:val="0065496A"/>
    <w:rsid w:val="00690853"/>
    <w:rsid w:val="006A2BEB"/>
    <w:rsid w:val="006B0845"/>
    <w:rsid w:val="006B138E"/>
    <w:rsid w:val="006C2656"/>
    <w:rsid w:val="006C2755"/>
    <w:rsid w:val="006C314B"/>
    <w:rsid w:val="006C6868"/>
    <w:rsid w:val="006D7595"/>
    <w:rsid w:val="006F4300"/>
    <w:rsid w:val="00722019"/>
    <w:rsid w:val="00731C87"/>
    <w:rsid w:val="00740C09"/>
    <w:rsid w:val="007433A2"/>
    <w:rsid w:val="00756AB3"/>
    <w:rsid w:val="00766948"/>
    <w:rsid w:val="007748C4"/>
    <w:rsid w:val="00774EFD"/>
    <w:rsid w:val="00793992"/>
    <w:rsid w:val="00795F45"/>
    <w:rsid w:val="007A0EAF"/>
    <w:rsid w:val="007A1ED5"/>
    <w:rsid w:val="007C4CE0"/>
    <w:rsid w:val="007C6FB3"/>
    <w:rsid w:val="007D16A7"/>
    <w:rsid w:val="007F44AB"/>
    <w:rsid w:val="0083081F"/>
    <w:rsid w:val="0083577C"/>
    <w:rsid w:val="00835DB9"/>
    <w:rsid w:val="00844AB0"/>
    <w:rsid w:val="0086442A"/>
    <w:rsid w:val="00871BA2"/>
    <w:rsid w:val="00881A4A"/>
    <w:rsid w:val="0088411F"/>
    <w:rsid w:val="00885BDC"/>
    <w:rsid w:val="008A062D"/>
    <w:rsid w:val="008C2F4D"/>
    <w:rsid w:val="008C639D"/>
    <w:rsid w:val="008C7E0C"/>
    <w:rsid w:val="008D5781"/>
    <w:rsid w:val="00900F93"/>
    <w:rsid w:val="00903B24"/>
    <w:rsid w:val="0090673E"/>
    <w:rsid w:val="00907FD9"/>
    <w:rsid w:val="00911438"/>
    <w:rsid w:val="00913658"/>
    <w:rsid w:val="00922574"/>
    <w:rsid w:val="009244AA"/>
    <w:rsid w:val="00925F35"/>
    <w:rsid w:val="00937A21"/>
    <w:rsid w:val="00940E84"/>
    <w:rsid w:val="009508A8"/>
    <w:rsid w:val="00950BA7"/>
    <w:rsid w:val="0095428D"/>
    <w:rsid w:val="00972856"/>
    <w:rsid w:val="0097396D"/>
    <w:rsid w:val="00974AA3"/>
    <w:rsid w:val="00981FDE"/>
    <w:rsid w:val="009876C1"/>
    <w:rsid w:val="00987D99"/>
    <w:rsid w:val="0099387A"/>
    <w:rsid w:val="00993E36"/>
    <w:rsid w:val="00995E68"/>
    <w:rsid w:val="009962A3"/>
    <w:rsid w:val="009A41B8"/>
    <w:rsid w:val="009B72C3"/>
    <w:rsid w:val="009B7882"/>
    <w:rsid w:val="009C10DA"/>
    <w:rsid w:val="009C3A5B"/>
    <w:rsid w:val="009C5495"/>
    <w:rsid w:val="009D003C"/>
    <w:rsid w:val="009D7565"/>
    <w:rsid w:val="009E0246"/>
    <w:rsid w:val="009E2B36"/>
    <w:rsid w:val="009E7625"/>
    <w:rsid w:val="009F0EA3"/>
    <w:rsid w:val="00A17949"/>
    <w:rsid w:val="00A31C83"/>
    <w:rsid w:val="00A46789"/>
    <w:rsid w:val="00A52F25"/>
    <w:rsid w:val="00A53C91"/>
    <w:rsid w:val="00A56E38"/>
    <w:rsid w:val="00A77177"/>
    <w:rsid w:val="00A841CB"/>
    <w:rsid w:val="00A843DA"/>
    <w:rsid w:val="00A8753E"/>
    <w:rsid w:val="00AA04FE"/>
    <w:rsid w:val="00AB1281"/>
    <w:rsid w:val="00AB43B5"/>
    <w:rsid w:val="00AC01AA"/>
    <w:rsid w:val="00AD4CF0"/>
    <w:rsid w:val="00AE7D9D"/>
    <w:rsid w:val="00AF5B6A"/>
    <w:rsid w:val="00AF646F"/>
    <w:rsid w:val="00B06F99"/>
    <w:rsid w:val="00B16A05"/>
    <w:rsid w:val="00B44308"/>
    <w:rsid w:val="00B46CF6"/>
    <w:rsid w:val="00B7671D"/>
    <w:rsid w:val="00B85F6E"/>
    <w:rsid w:val="00B9770C"/>
    <w:rsid w:val="00BA696A"/>
    <w:rsid w:val="00BB2A3F"/>
    <w:rsid w:val="00BD2AB3"/>
    <w:rsid w:val="00BD4A66"/>
    <w:rsid w:val="00BE7337"/>
    <w:rsid w:val="00BF316E"/>
    <w:rsid w:val="00BF5ABE"/>
    <w:rsid w:val="00C132F2"/>
    <w:rsid w:val="00C20332"/>
    <w:rsid w:val="00C25DD9"/>
    <w:rsid w:val="00C260E9"/>
    <w:rsid w:val="00C34A89"/>
    <w:rsid w:val="00C34E72"/>
    <w:rsid w:val="00CB2D5B"/>
    <w:rsid w:val="00CF6AF9"/>
    <w:rsid w:val="00D1136B"/>
    <w:rsid w:val="00D1499D"/>
    <w:rsid w:val="00D252B8"/>
    <w:rsid w:val="00D25CF6"/>
    <w:rsid w:val="00D3772E"/>
    <w:rsid w:val="00D44C30"/>
    <w:rsid w:val="00D514BE"/>
    <w:rsid w:val="00D5777C"/>
    <w:rsid w:val="00D62CB4"/>
    <w:rsid w:val="00D63361"/>
    <w:rsid w:val="00D710B2"/>
    <w:rsid w:val="00D73FBB"/>
    <w:rsid w:val="00D81C2E"/>
    <w:rsid w:val="00D83CC9"/>
    <w:rsid w:val="00D861F8"/>
    <w:rsid w:val="00D86E31"/>
    <w:rsid w:val="00DA59DE"/>
    <w:rsid w:val="00DB7250"/>
    <w:rsid w:val="00DC065A"/>
    <w:rsid w:val="00DD0EC3"/>
    <w:rsid w:val="00DD4DF5"/>
    <w:rsid w:val="00DE1686"/>
    <w:rsid w:val="00DE3BC1"/>
    <w:rsid w:val="00DE4F84"/>
    <w:rsid w:val="00DE5704"/>
    <w:rsid w:val="00DF6DED"/>
    <w:rsid w:val="00E14A67"/>
    <w:rsid w:val="00E16426"/>
    <w:rsid w:val="00E21C13"/>
    <w:rsid w:val="00E26553"/>
    <w:rsid w:val="00E27F76"/>
    <w:rsid w:val="00E473D8"/>
    <w:rsid w:val="00E47783"/>
    <w:rsid w:val="00E6050C"/>
    <w:rsid w:val="00E65B47"/>
    <w:rsid w:val="00E72278"/>
    <w:rsid w:val="00E72AA0"/>
    <w:rsid w:val="00E85172"/>
    <w:rsid w:val="00E87458"/>
    <w:rsid w:val="00E95BE7"/>
    <w:rsid w:val="00EA32F8"/>
    <w:rsid w:val="00EB63A3"/>
    <w:rsid w:val="00EC2024"/>
    <w:rsid w:val="00ED6331"/>
    <w:rsid w:val="00EE0AB7"/>
    <w:rsid w:val="00EE5697"/>
    <w:rsid w:val="00EE6281"/>
    <w:rsid w:val="00EF5893"/>
    <w:rsid w:val="00F12786"/>
    <w:rsid w:val="00F13766"/>
    <w:rsid w:val="00F1505B"/>
    <w:rsid w:val="00F15445"/>
    <w:rsid w:val="00F31D2F"/>
    <w:rsid w:val="00F320AB"/>
    <w:rsid w:val="00F366A8"/>
    <w:rsid w:val="00F44DD2"/>
    <w:rsid w:val="00F57742"/>
    <w:rsid w:val="00F60CD6"/>
    <w:rsid w:val="00F70262"/>
    <w:rsid w:val="00F76A18"/>
    <w:rsid w:val="00F76EE0"/>
    <w:rsid w:val="00F86991"/>
    <w:rsid w:val="00FB7360"/>
    <w:rsid w:val="00FB7F09"/>
    <w:rsid w:val="00FC5626"/>
    <w:rsid w:val="00FD0562"/>
    <w:rsid w:val="00FD17A5"/>
    <w:rsid w:val="00FE42A6"/>
    <w:rsid w:val="00FE729E"/>
    <w:rsid w:val="00FF535C"/>
    <w:rsid w:val="0449381C"/>
    <w:rsid w:val="056A5B7C"/>
    <w:rsid w:val="11666309"/>
    <w:rsid w:val="132B413A"/>
    <w:rsid w:val="14593E9D"/>
    <w:rsid w:val="189F1804"/>
    <w:rsid w:val="19E43F01"/>
    <w:rsid w:val="1A013444"/>
    <w:rsid w:val="1A302455"/>
    <w:rsid w:val="1D0151B5"/>
    <w:rsid w:val="1D266050"/>
    <w:rsid w:val="21042B4C"/>
    <w:rsid w:val="22786C6C"/>
    <w:rsid w:val="24BC19E8"/>
    <w:rsid w:val="29BB4DB5"/>
    <w:rsid w:val="2AAD440C"/>
    <w:rsid w:val="2C0B1233"/>
    <w:rsid w:val="2C365A9F"/>
    <w:rsid w:val="2D042E29"/>
    <w:rsid w:val="2E127587"/>
    <w:rsid w:val="2ECE479A"/>
    <w:rsid w:val="316B3CA1"/>
    <w:rsid w:val="34871673"/>
    <w:rsid w:val="34B230E4"/>
    <w:rsid w:val="354041AE"/>
    <w:rsid w:val="393578EF"/>
    <w:rsid w:val="3D6A1B31"/>
    <w:rsid w:val="3DD31EFC"/>
    <w:rsid w:val="4249440B"/>
    <w:rsid w:val="488F68F0"/>
    <w:rsid w:val="4A82495E"/>
    <w:rsid w:val="4E5D71AC"/>
    <w:rsid w:val="50D37CC2"/>
    <w:rsid w:val="586B6A32"/>
    <w:rsid w:val="5B6B4F9B"/>
    <w:rsid w:val="5B782556"/>
    <w:rsid w:val="5BDD0268"/>
    <w:rsid w:val="62375BD7"/>
    <w:rsid w:val="63D556A7"/>
    <w:rsid w:val="65F965E7"/>
    <w:rsid w:val="670F14E6"/>
    <w:rsid w:val="686E1C26"/>
    <w:rsid w:val="690F6F65"/>
    <w:rsid w:val="69AF244E"/>
    <w:rsid w:val="6AA115B5"/>
    <w:rsid w:val="6F046E40"/>
    <w:rsid w:val="70380D96"/>
    <w:rsid w:val="736C2F29"/>
    <w:rsid w:val="742C2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4"/>
    <w:basedOn w:val="1"/>
    <w:next w:val="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next w:val="1"/>
    <w:qFormat/>
    <w:uiPriority w:val="0"/>
    <w:pPr>
      <w:keepNext/>
      <w:keepLines/>
      <w:spacing w:before="280" w:after="290" w:line="372" w:lineRule="auto"/>
      <w:outlineLvl w:val="4"/>
    </w:pPr>
    <w:rPr>
      <w:rFonts w:ascii="Times New Roman" w:hAnsi="Times New Roman" w:eastAsia="宋体" w:cs="Times New Roman"/>
      <w:kern w:val="2"/>
      <w:sz w:val="28"/>
      <w:lang w:val="en-US" w:eastAsia="zh-CN" w:bidi="ar-SA"/>
    </w:rPr>
  </w:style>
  <w:style w:type="paragraph" w:styleId="7">
    <w:name w:val="heading 6"/>
    <w:basedOn w:val="1"/>
    <w:next w:val="1"/>
    <w:qFormat/>
    <w:uiPriority w:val="0"/>
    <w:pPr>
      <w:keepNext/>
      <w:keepLines/>
      <w:spacing w:before="240" w:after="64" w:line="317" w:lineRule="auto"/>
      <w:outlineLvl w:val="5"/>
    </w:pPr>
    <w:rPr>
      <w:rFonts w:ascii="Arial" w:hAnsi="Arial" w:eastAsia="黑体"/>
      <w:b/>
      <w:sz w:val="24"/>
      <w:szCs w:val="20"/>
    </w:rPr>
  </w:style>
  <w:style w:type="paragraph" w:styleId="8">
    <w:name w:val="heading 7"/>
    <w:basedOn w:val="1"/>
    <w:next w:val="1"/>
    <w:qFormat/>
    <w:uiPriority w:val="0"/>
    <w:pPr>
      <w:keepNext/>
      <w:keepLines/>
      <w:spacing w:before="240" w:after="64" w:line="317" w:lineRule="auto"/>
      <w:outlineLvl w:val="6"/>
    </w:pPr>
    <w:rPr>
      <w:b/>
      <w:sz w:val="24"/>
      <w:szCs w:val="20"/>
    </w:rPr>
  </w:style>
  <w:style w:type="paragraph" w:styleId="9">
    <w:name w:val="heading 8"/>
    <w:basedOn w:val="1"/>
    <w:next w:val="1"/>
    <w:qFormat/>
    <w:uiPriority w:val="0"/>
    <w:pPr>
      <w:keepNext/>
      <w:keepLines/>
      <w:spacing w:before="240" w:after="64" w:line="317" w:lineRule="auto"/>
      <w:outlineLvl w:val="7"/>
    </w:pPr>
    <w:rPr>
      <w:rFonts w:ascii="Arial" w:hAnsi="Arial" w:eastAsia="黑体"/>
      <w:sz w:val="24"/>
      <w:szCs w:val="20"/>
    </w:rPr>
  </w:style>
  <w:style w:type="paragraph" w:styleId="10">
    <w:name w:val="heading 9"/>
    <w:basedOn w:val="1"/>
    <w:next w:val="1"/>
    <w:qFormat/>
    <w:uiPriority w:val="0"/>
    <w:pPr>
      <w:keepNext/>
      <w:keepLines/>
      <w:spacing w:before="240" w:after="64" w:line="317" w:lineRule="auto"/>
      <w:outlineLvl w:val="8"/>
    </w:pPr>
    <w:rPr>
      <w:rFonts w:ascii="Arial" w:hAnsi="Arial" w:eastAsia="黑体"/>
      <w:szCs w:val="20"/>
    </w:rPr>
  </w:style>
  <w:style w:type="character" w:default="1" w:styleId="37">
    <w:name w:val="Default Paragraph Font"/>
    <w:semiHidden/>
    <w:unhideWhenUsed/>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adjustRightInd w:val="0"/>
      <w:spacing w:line="360" w:lineRule="atLeast"/>
      <w:ind w:firstLine="482"/>
      <w:textAlignment w:val="baseline"/>
    </w:pPr>
    <w:rPr>
      <w:kern w:val="0"/>
      <w:sz w:val="24"/>
    </w:rPr>
  </w:style>
  <w:style w:type="paragraph" w:styleId="12">
    <w:name w:val="caption"/>
    <w:basedOn w:val="1"/>
    <w:next w:val="1"/>
    <w:qFormat/>
    <w:uiPriority w:val="0"/>
    <w:rPr>
      <w:rFonts w:ascii="Cambria" w:hAnsi="Cambria" w:eastAsia="黑体"/>
      <w:sz w:val="20"/>
      <w:szCs w:val="20"/>
    </w:rPr>
  </w:style>
  <w:style w:type="paragraph" w:styleId="13">
    <w:name w:val="Document Map"/>
    <w:basedOn w:val="1"/>
    <w:qFormat/>
    <w:uiPriority w:val="0"/>
    <w:pPr>
      <w:shd w:val="clear" w:color="auto" w:fill="000080"/>
    </w:pPr>
  </w:style>
  <w:style w:type="paragraph" w:styleId="14">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15">
    <w:name w:val="annotation text"/>
    <w:basedOn w:val="1"/>
    <w:link w:val="105"/>
    <w:qFormat/>
    <w:uiPriority w:val="0"/>
    <w:pPr>
      <w:jc w:val="left"/>
    </w:pPr>
  </w:style>
  <w:style w:type="paragraph" w:styleId="16">
    <w:name w:val="Salutation"/>
    <w:basedOn w:val="1"/>
    <w:next w:val="1"/>
    <w:qFormat/>
    <w:uiPriority w:val="0"/>
    <w:pPr>
      <w:widowControl/>
      <w:jc w:val="left"/>
    </w:pPr>
    <w:rPr>
      <w:kern w:val="0"/>
      <w:sz w:val="30"/>
      <w:szCs w:val="20"/>
    </w:rPr>
  </w:style>
  <w:style w:type="paragraph" w:styleId="17">
    <w:name w:val="Body Text 3"/>
    <w:basedOn w:val="1"/>
    <w:qFormat/>
    <w:uiPriority w:val="0"/>
    <w:pPr>
      <w:spacing w:line="500" w:lineRule="exact"/>
    </w:pPr>
    <w:rPr>
      <w:color w:val="000000"/>
      <w:sz w:val="24"/>
      <w:szCs w:val="20"/>
    </w:rPr>
  </w:style>
  <w:style w:type="paragraph" w:styleId="18">
    <w:name w:val="Body Text"/>
    <w:basedOn w:val="1"/>
    <w:qFormat/>
    <w:uiPriority w:val="0"/>
    <w:pPr>
      <w:spacing w:line="360" w:lineRule="auto"/>
    </w:pPr>
    <w:rPr>
      <w:rFonts w:eastAsia="仿宋_GB2312"/>
      <w:sz w:val="23"/>
    </w:rPr>
  </w:style>
  <w:style w:type="paragraph" w:styleId="19">
    <w:name w:val="Body Text Indent"/>
    <w:basedOn w:val="1"/>
    <w:qFormat/>
    <w:uiPriority w:val="0"/>
    <w:pPr>
      <w:spacing w:line="360" w:lineRule="auto"/>
      <w:ind w:firstLine="200" w:firstLineChars="200"/>
    </w:pPr>
    <w:rPr>
      <w:rFonts w:eastAsia="仿宋_GB2312"/>
      <w:sz w:val="25"/>
    </w:rPr>
  </w:style>
  <w:style w:type="paragraph" w:styleId="20">
    <w:name w:val="Block Text"/>
    <w:basedOn w:val="1"/>
    <w:qFormat/>
    <w:uiPriority w:val="0"/>
    <w:pPr>
      <w:spacing w:line="360" w:lineRule="auto"/>
      <w:ind w:right="100" w:rightChars="100" w:firstLine="200" w:firstLineChars="200"/>
    </w:pPr>
    <w:rPr>
      <w:rFonts w:ascii="宋体"/>
      <w:color w:val="000000"/>
      <w:spacing w:val="20"/>
      <w:kern w:val="24"/>
      <w:sz w:val="24"/>
      <w:szCs w:val="18"/>
    </w:rPr>
  </w:style>
  <w:style w:type="paragraph" w:styleId="21">
    <w:name w:val="toc 3"/>
    <w:basedOn w:val="1"/>
    <w:next w:val="1"/>
    <w:qFormat/>
    <w:uiPriority w:val="0"/>
    <w:pPr>
      <w:ind w:left="400" w:leftChars="400"/>
    </w:pPr>
    <w:rPr>
      <w:rFonts w:eastAsia="仿宋_GB2312"/>
      <w:sz w:val="28"/>
    </w:rPr>
  </w:style>
  <w:style w:type="paragraph" w:styleId="22">
    <w:name w:val="Plain Text"/>
    <w:basedOn w:val="1"/>
    <w:qFormat/>
    <w:uiPriority w:val="0"/>
    <w:rPr>
      <w:rFonts w:ascii="宋体" w:cs="Courier New"/>
      <w:szCs w:val="21"/>
    </w:rPr>
  </w:style>
  <w:style w:type="paragraph" w:styleId="23">
    <w:name w:val="Date"/>
    <w:basedOn w:val="1"/>
    <w:next w:val="1"/>
    <w:qFormat/>
    <w:uiPriority w:val="0"/>
    <w:pPr>
      <w:ind w:left="2500" w:leftChars="2500"/>
    </w:pPr>
  </w:style>
  <w:style w:type="paragraph" w:styleId="24">
    <w:name w:val="Body Text Indent 2"/>
    <w:basedOn w:val="1"/>
    <w:qFormat/>
    <w:uiPriority w:val="0"/>
    <w:pPr>
      <w:widowControl/>
      <w:tabs>
        <w:tab w:val="left" w:pos="0"/>
        <w:tab w:val="left" w:pos="993"/>
        <w:tab w:val="left" w:pos="1134"/>
      </w:tabs>
      <w:spacing w:line="500" w:lineRule="exact"/>
      <w:ind w:firstLine="851"/>
    </w:pPr>
    <w:rPr>
      <w:rFonts w:ascii="楷体_GB2312" w:eastAsia="楷体_GB2312"/>
      <w:b/>
      <w:spacing w:val="-24"/>
      <w:kern w:val="0"/>
      <w:sz w:val="28"/>
      <w:szCs w:val="20"/>
    </w:rPr>
  </w:style>
  <w:style w:type="paragraph" w:styleId="25">
    <w:name w:val="Balloon Text"/>
    <w:basedOn w:val="1"/>
    <w:qFormat/>
    <w:uiPriority w:val="0"/>
    <w:rPr>
      <w:sz w:val="18"/>
      <w:szCs w:val="18"/>
    </w:rPr>
  </w:style>
  <w:style w:type="paragraph" w:styleId="26">
    <w:name w:val="footer"/>
    <w:basedOn w:val="1"/>
    <w:link w:val="104"/>
    <w:qFormat/>
    <w:uiPriority w:val="99"/>
    <w:pPr>
      <w:tabs>
        <w:tab w:val="center" w:pos="4153"/>
        <w:tab w:val="right" w:pos="8306"/>
      </w:tabs>
      <w:snapToGrid w:val="0"/>
      <w:jc w:val="left"/>
    </w:pPr>
    <w:rPr>
      <w:sz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pPr>
      <w:tabs>
        <w:tab w:val="right" w:leader="dot" w:pos="9530"/>
      </w:tabs>
      <w:jc w:val="center"/>
    </w:pPr>
    <w:rPr>
      <w:sz w:val="24"/>
    </w:rPr>
  </w:style>
  <w:style w:type="paragraph" w:styleId="29">
    <w:name w:val="Body Text Indent 3"/>
    <w:basedOn w:val="1"/>
    <w:qFormat/>
    <w:uiPriority w:val="0"/>
    <w:pPr>
      <w:spacing w:line="620" w:lineRule="exact"/>
      <w:ind w:firstLine="570"/>
    </w:pPr>
    <w:rPr>
      <w:rFonts w:ascii="宋体"/>
      <w:sz w:val="24"/>
      <w:szCs w:val="20"/>
    </w:rPr>
  </w:style>
  <w:style w:type="paragraph" w:styleId="30">
    <w:name w:val="toc 2"/>
    <w:basedOn w:val="1"/>
    <w:next w:val="1"/>
    <w:qFormat/>
    <w:uiPriority w:val="0"/>
    <w:pPr>
      <w:tabs>
        <w:tab w:val="right" w:leader="dot" w:pos="9187"/>
      </w:tabs>
      <w:ind w:left="200" w:leftChars="200"/>
    </w:pPr>
    <w:rPr>
      <w:rFonts w:eastAsia="仿宋_GB2312"/>
      <w:sz w:val="28"/>
    </w:rPr>
  </w:style>
  <w:style w:type="paragraph" w:styleId="31">
    <w:name w:val="Body Text 2"/>
    <w:basedOn w:val="1"/>
    <w:next w:val="32"/>
    <w:qFormat/>
    <w:uiPriority w:val="0"/>
    <w:pPr>
      <w:tabs>
        <w:tab w:val="left" w:pos="851"/>
      </w:tabs>
      <w:spacing w:line="320" w:lineRule="exact"/>
      <w:ind w:right="-108"/>
      <w:jc w:val="center"/>
    </w:pPr>
    <w:rPr>
      <w:sz w:val="24"/>
      <w:szCs w:val="20"/>
    </w:rPr>
  </w:style>
  <w:style w:type="paragraph" w:customStyle="1" w:styleId="32">
    <w:name w:val="目录 61"/>
    <w:basedOn w:val="1"/>
    <w:next w:val="1"/>
    <w:autoRedefine/>
    <w:qFormat/>
    <w:uiPriority w:val="0"/>
    <w:pPr>
      <w:ind w:left="2100"/>
    </w:pPr>
    <w:rPr>
      <w:rFonts w:ascii="Calibri" w:hAnsi="宋体" w:cs="宋体"/>
      <w:kern w:val="0"/>
      <w:szCs w:val="20"/>
    </w:rPr>
  </w:style>
  <w:style w:type="paragraph" w:styleId="33">
    <w:name w:val="Normal (Web)"/>
    <w:basedOn w:val="1"/>
    <w:qFormat/>
    <w:uiPriority w:val="0"/>
    <w:pPr>
      <w:widowControl/>
      <w:spacing w:before="100" w:beforeAutospacing="1" w:after="100" w:afterAutospacing="1"/>
      <w:jc w:val="left"/>
    </w:pPr>
    <w:rPr>
      <w:rFonts w:ascii="宋体" w:cs="宋体"/>
      <w:kern w:val="0"/>
      <w:sz w:val="24"/>
    </w:rPr>
  </w:style>
  <w:style w:type="paragraph" w:styleId="34">
    <w:name w:val="annotation subject"/>
    <w:basedOn w:val="15"/>
    <w:next w:val="15"/>
    <w:qFormat/>
    <w:uiPriority w:val="0"/>
    <w:rPr>
      <w:b/>
      <w:bCs/>
    </w:rPr>
  </w:style>
  <w:style w:type="table" w:styleId="36">
    <w:name w:val="Table Grid"/>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0"/>
    <w:rPr>
      <w:b/>
    </w:rPr>
  </w:style>
  <w:style w:type="character" w:styleId="39">
    <w:name w:val="page number"/>
    <w:basedOn w:val="37"/>
    <w:qFormat/>
    <w:uiPriority w:val="0"/>
  </w:style>
  <w:style w:type="character" w:styleId="40">
    <w:name w:val="FollowedHyperlink"/>
    <w:qFormat/>
    <w:uiPriority w:val="0"/>
    <w:rPr>
      <w:color w:val="800080"/>
      <w:u w:val="single"/>
    </w:rPr>
  </w:style>
  <w:style w:type="character" w:styleId="41">
    <w:name w:val="Hyperlink"/>
    <w:qFormat/>
    <w:uiPriority w:val="0"/>
    <w:rPr>
      <w:color w:val="0000FF"/>
      <w:u w:val="single"/>
    </w:rPr>
  </w:style>
  <w:style w:type="character" w:styleId="42">
    <w:name w:val="annotation reference"/>
    <w:qFormat/>
    <w:uiPriority w:val="0"/>
    <w:rPr>
      <w:sz w:val="21"/>
      <w:szCs w:val="21"/>
    </w:rPr>
  </w:style>
  <w:style w:type="character" w:customStyle="1" w:styleId="43">
    <w:name w:val="textcontents"/>
    <w:basedOn w:val="37"/>
    <w:qFormat/>
    <w:uiPriority w:val="0"/>
  </w:style>
  <w:style w:type="character" w:customStyle="1" w:styleId="44">
    <w:name w:val="Variable"/>
    <w:qFormat/>
    <w:uiPriority w:val="0"/>
    <w:rPr>
      <w:i/>
    </w:rPr>
  </w:style>
  <w:style w:type="character" w:customStyle="1" w:styleId="45">
    <w:name w:val="tt21"/>
    <w:qFormat/>
    <w:uiPriority w:val="0"/>
    <w:rPr>
      <w:rFonts w:ascii="宋体"/>
      <w:b/>
      <w:bCs/>
      <w:sz w:val="32"/>
      <w:szCs w:val="18"/>
    </w:rPr>
  </w:style>
  <w:style w:type="character" w:customStyle="1" w:styleId="46">
    <w:name w:val="newsbg1"/>
    <w:basedOn w:val="37"/>
    <w:qFormat/>
    <w:uiPriority w:val="0"/>
  </w:style>
  <w:style w:type="character" w:customStyle="1" w:styleId="47">
    <w:name w:val="样式3 Char Char Char Char"/>
    <w:qFormat/>
    <w:uiPriority w:val="0"/>
    <w:rPr>
      <w:rFonts w:eastAsia="黑体"/>
      <w:b/>
      <w:bCs/>
      <w:kern w:val="2"/>
      <w:sz w:val="32"/>
      <w:szCs w:val="32"/>
      <w:lang w:val="en-US" w:eastAsia="zh-CN" w:bidi="ar-SA"/>
    </w:rPr>
  </w:style>
  <w:style w:type="character" w:customStyle="1" w:styleId="48">
    <w:name w:val="bigfont"/>
    <w:basedOn w:val="37"/>
    <w:qFormat/>
    <w:uiPriority w:val="0"/>
  </w:style>
  <w:style w:type="character" w:customStyle="1" w:styleId="49">
    <w:name w:val="title2"/>
    <w:qFormat/>
    <w:uiPriority w:val="0"/>
    <w:rPr>
      <w:rFonts w:ascii="Arial" w:hAnsi="Arial"/>
      <w:b/>
      <w:color w:val="111111"/>
      <w:sz w:val="24"/>
      <w:u w:val="none"/>
    </w:rPr>
  </w:style>
  <w:style w:type="paragraph" w:customStyle="1" w:styleId="50">
    <w:name w:val="样式 标题 3h3section:3Level 3 HeadH3level_3PIM 33rd level3H..."/>
    <w:basedOn w:val="4"/>
    <w:qFormat/>
    <w:uiPriority w:val="0"/>
    <w:pPr>
      <w:numPr>
        <w:ilvl w:val="3"/>
        <w:numId w:val="1"/>
      </w:numPr>
      <w:tabs>
        <w:tab w:val="left" w:pos="1680"/>
      </w:tabs>
      <w:adjustRightInd w:val="0"/>
      <w:spacing w:line="416" w:lineRule="atLeast"/>
      <w:textAlignment w:val="baseline"/>
    </w:pPr>
    <w:rPr>
      <w:rFonts w:ascii="Arial" w:hAnsi="Arial"/>
      <w:bCs w:val="0"/>
      <w:sz w:val="24"/>
      <w:szCs w:val="28"/>
    </w:rPr>
  </w:style>
  <w:style w:type="paragraph" w:customStyle="1" w:styleId="51">
    <w:name w:val="Char Char Char Char Char Char Char Char Char Char"/>
    <w:basedOn w:val="1"/>
    <w:qFormat/>
    <w:uiPriority w:val="0"/>
    <w:pPr>
      <w:widowControl/>
      <w:spacing w:line="400" w:lineRule="exact"/>
      <w:jc w:val="center"/>
    </w:pPr>
    <w:rPr>
      <w:rFonts w:ascii="Verdana" w:hAnsi="Verdana"/>
      <w:kern w:val="0"/>
      <w:szCs w:val="20"/>
    </w:rPr>
  </w:style>
  <w:style w:type="paragraph" w:customStyle="1" w:styleId="52">
    <w:name w:val="列表1）"/>
    <w:basedOn w:val="11"/>
    <w:qFormat/>
    <w:uiPriority w:val="0"/>
    <w:pPr>
      <w:adjustRightInd/>
      <w:spacing w:before="10" w:line="240" w:lineRule="auto"/>
      <w:ind w:firstLine="0"/>
      <w:textAlignment w:val="auto"/>
    </w:pPr>
    <w:rPr>
      <w:rFonts w:ascii="Verdana" w:hAnsi="Verdana"/>
      <w:kern w:val="2"/>
      <w:sz w:val="21"/>
      <w:szCs w:val="21"/>
    </w:rPr>
  </w:style>
  <w:style w:type="paragraph" w:customStyle="1" w:styleId="53">
    <w:name w:val="p0"/>
    <w:basedOn w:val="1"/>
    <w:qFormat/>
    <w:uiPriority w:val="0"/>
    <w:pPr>
      <w:widowControl/>
    </w:pPr>
    <w:rPr>
      <w:kern w:val="0"/>
      <w:szCs w:val="21"/>
    </w:rPr>
  </w:style>
  <w:style w:type="paragraph" w:customStyle="1" w:styleId="54">
    <w:name w:val="样式2"/>
    <w:basedOn w:val="3"/>
    <w:next w:val="1"/>
    <w:qFormat/>
    <w:uiPriority w:val="0"/>
    <w:pPr>
      <w:spacing w:line="240" w:lineRule="auto"/>
      <w:jc w:val="center"/>
    </w:pPr>
    <w:rPr>
      <w:sz w:val="36"/>
    </w:rPr>
  </w:style>
  <w:style w:type="paragraph" w:customStyle="1" w:styleId="55">
    <w:name w:val="样式8"/>
    <w:basedOn w:val="54"/>
    <w:qFormat/>
    <w:uiPriority w:val="0"/>
    <w:rPr>
      <w:sz w:val="72"/>
    </w:rPr>
  </w:style>
  <w:style w:type="paragraph" w:customStyle="1" w:styleId="56">
    <w:name w:val="样式 (中文) 黑体 小三 黑色"/>
    <w:basedOn w:val="3"/>
    <w:qFormat/>
    <w:uiPriority w:val="0"/>
    <w:pPr>
      <w:spacing w:line="240" w:lineRule="auto"/>
      <w:jc w:val="center"/>
    </w:pPr>
    <w:rPr>
      <w:color w:val="000000"/>
      <w:sz w:val="30"/>
    </w:rPr>
  </w:style>
  <w:style w:type="paragraph" w:customStyle="1" w:styleId="57">
    <w:name w:val="样式 首行缩进:  2 字符"/>
    <w:basedOn w:val="1"/>
    <w:qFormat/>
    <w:uiPriority w:val="0"/>
    <w:pPr>
      <w:spacing w:line="360" w:lineRule="auto"/>
      <w:ind w:firstLine="200" w:firstLineChars="200"/>
    </w:pPr>
    <w:rPr>
      <w:rFonts w:ascii="Arial" w:hAnsi="Arial"/>
      <w:sz w:val="24"/>
      <w:szCs w:val="20"/>
    </w:rPr>
  </w:style>
  <w:style w:type="paragraph" w:customStyle="1" w:styleId="58">
    <w:name w:val="样式7"/>
    <w:basedOn w:val="28"/>
    <w:next w:val="1"/>
    <w:qFormat/>
    <w:uiPriority w:val="0"/>
    <w:pPr>
      <w:tabs>
        <w:tab w:val="right" w:leader="dot" w:pos="9200"/>
      </w:tabs>
    </w:pPr>
    <w:rPr>
      <w:rFonts w:eastAsia="仿宋_GB2312"/>
      <w:sz w:val="28"/>
      <w:szCs w:val="21"/>
    </w:rPr>
  </w:style>
  <w:style w:type="paragraph" w:customStyle="1" w:styleId="59">
    <w:name w:val="样式 宋体 首行缩进:  2 字符 段前: 7.8 磅 段后: 7.8 磅"/>
    <w:basedOn w:val="1"/>
    <w:qFormat/>
    <w:uiPriority w:val="0"/>
    <w:pPr>
      <w:adjustRightInd w:val="0"/>
      <w:snapToGrid w:val="0"/>
      <w:spacing w:before="156" w:after="156" w:line="360" w:lineRule="auto"/>
      <w:ind w:firstLine="200" w:firstLineChars="200"/>
    </w:pPr>
    <w:rPr>
      <w:rFonts w:ascii="宋体" w:cs="宋体"/>
      <w:szCs w:val="20"/>
    </w:rPr>
  </w:style>
  <w:style w:type="paragraph" w:customStyle="1" w:styleId="60">
    <w:name w:val="文档正文"/>
    <w:basedOn w:val="1"/>
    <w:qFormat/>
    <w:uiPriority w:val="0"/>
    <w:pPr>
      <w:adjustRightInd w:val="0"/>
      <w:spacing w:line="480" w:lineRule="atLeast"/>
      <w:ind w:firstLine="567"/>
    </w:pPr>
    <w:rPr>
      <w:rFonts w:ascii="长城仿宋" w:hAnsi="长城仿宋"/>
      <w:kern w:val="0"/>
      <w:sz w:val="24"/>
      <w:szCs w:val="20"/>
    </w:rPr>
  </w:style>
  <w:style w:type="paragraph" w:customStyle="1" w:styleId="61">
    <w:name w:val="Char Char Char1 Char"/>
    <w:basedOn w:val="1"/>
    <w:qFormat/>
    <w:uiPriority w:val="0"/>
    <w:rPr>
      <w:szCs w:val="20"/>
    </w:rPr>
  </w:style>
  <w:style w:type="paragraph" w:customStyle="1" w:styleId="62">
    <w:name w:val="_Style 10"/>
    <w:basedOn w:val="1"/>
    <w:qFormat/>
    <w:uiPriority w:val="0"/>
    <w:pPr>
      <w:widowControl/>
      <w:spacing w:line="400" w:lineRule="exact"/>
      <w:jc w:val="center"/>
    </w:pPr>
  </w:style>
  <w:style w:type="paragraph" w:styleId="63">
    <w:name w:val="List Paragraph"/>
    <w:basedOn w:val="1"/>
    <w:qFormat/>
    <w:uiPriority w:val="0"/>
    <w:pPr>
      <w:ind w:firstLine="200" w:firstLineChars="200"/>
    </w:pPr>
    <w:rPr>
      <w:rFonts w:ascii="Calibri" w:hAnsi="Calibri"/>
      <w:szCs w:val="22"/>
    </w:rPr>
  </w:style>
  <w:style w:type="paragraph" w:customStyle="1" w:styleId="64">
    <w:name w:val="prodsubtitle"/>
    <w:basedOn w:val="1"/>
    <w:qFormat/>
    <w:uiPriority w:val="0"/>
    <w:pPr>
      <w:widowControl/>
      <w:jc w:val="left"/>
    </w:pPr>
    <w:rPr>
      <w:rFonts w:ascii="宋体" w:cs="宋体"/>
      <w:kern w:val="0"/>
      <w:sz w:val="24"/>
    </w:rPr>
  </w:style>
  <w:style w:type="paragraph" w:customStyle="1" w:styleId="65">
    <w:name w:val="Char Char Char Char Char Char Char1"/>
    <w:basedOn w:val="1"/>
    <w:qFormat/>
    <w:uiPriority w:val="0"/>
    <w:pPr>
      <w:widowControl/>
      <w:spacing w:line="400" w:lineRule="exact"/>
      <w:jc w:val="center"/>
    </w:pPr>
    <w:rPr>
      <w:rFonts w:ascii="Verdana" w:hAnsi="Verdana"/>
      <w:kern w:val="0"/>
      <w:szCs w:val="20"/>
    </w:rPr>
  </w:style>
  <w:style w:type="paragraph" w:customStyle="1" w:styleId="66">
    <w:name w:val="样式1"/>
    <w:basedOn w:val="2"/>
    <w:next w:val="1"/>
    <w:qFormat/>
    <w:uiPriority w:val="0"/>
    <w:pPr>
      <w:spacing w:line="240" w:lineRule="auto"/>
      <w:jc w:val="center"/>
    </w:pPr>
    <w:rPr>
      <w:rFonts w:eastAsia="黑体"/>
      <w:sz w:val="36"/>
    </w:rPr>
  </w:style>
  <w:style w:type="paragraph" w:customStyle="1" w:styleId="67">
    <w:name w:val="样式3"/>
    <w:basedOn w:val="4"/>
    <w:next w:val="1"/>
    <w:qFormat/>
    <w:uiPriority w:val="0"/>
    <w:pPr>
      <w:spacing w:line="240" w:lineRule="auto"/>
      <w:jc w:val="center"/>
    </w:pPr>
    <w:rPr>
      <w:rFonts w:eastAsia="黑体"/>
    </w:rPr>
  </w:style>
  <w:style w:type="paragraph" w:customStyle="1" w:styleId="68">
    <w:name w:val="修订1"/>
    <w:qFormat/>
    <w:uiPriority w:val="0"/>
    <w:rPr>
      <w:rFonts w:ascii="Times New Roman" w:hAnsi="Times New Roman" w:eastAsia="宋体" w:cs="Times New Roman"/>
      <w:kern w:val="2"/>
      <w:sz w:val="21"/>
      <w:szCs w:val="24"/>
      <w:lang w:val="en-US" w:eastAsia="zh-CN" w:bidi="ar-SA"/>
    </w:rPr>
  </w:style>
  <w:style w:type="paragraph" w:customStyle="1" w:styleId="69">
    <w:name w:val="列出段落1"/>
    <w:basedOn w:val="1"/>
    <w:qFormat/>
    <w:uiPriority w:val="0"/>
    <w:pPr>
      <w:ind w:firstLine="200" w:firstLineChars="200"/>
    </w:pPr>
    <w:rPr>
      <w:rFonts w:ascii="Calibri" w:hAnsi="Calibri"/>
      <w:szCs w:val="20"/>
    </w:rPr>
  </w:style>
  <w:style w:type="paragraph" w:customStyle="1" w:styleId="70">
    <w:name w:val="样式 (中文) 黑体 小二 加粗 居中 行距: 1.5 倍行距"/>
    <w:basedOn w:val="2"/>
    <w:qFormat/>
    <w:uiPriority w:val="0"/>
    <w:pPr>
      <w:spacing w:line="240" w:lineRule="auto"/>
      <w:jc w:val="center"/>
    </w:pPr>
    <w:rPr>
      <w:rFonts w:eastAsia="黑体" w:cs="宋体"/>
      <w:b w:val="0"/>
      <w:bCs w:val="0"/>
      <w:spacing w:val="60"/>
      <w:sz w:val="36"/>
      <w:szCs w:val="20"/>
    </w:rPr>
  </w:style>
  <w:style w:type="paragraph" w:customStyle="1" w:styleId="71">
    <w:name w:val="Char"/>
    <w:basedOn w:val="1"/>
    <w:qFormat/>
    <w:uiPriority w:val="0"/>
    <w:rPr>
      <w:rFonts w:ascii="Tahoma" w:hAnsi="Tahoma"/>
      <w:sz w:val="24"/>
      <w:szCs w:val="20"/>
    </w:rPr>
  </w:style>
  <w:style w:type="paragraph" w:customStyle="1" w:styleId="72">
    <w:name w:val="五号正文（标准）"/>
    <w:basedOn w:val="1"/>
    <w:qFormat/>
    <w:uiPriority w:val="0"/>
    <w:pPr>
      <w:spacing w:line="360" w:lineRule="auto"/>
      <w:ind w:firstLine="200" w:firstLineChars="200"/>
    </w:pPr>
    <w:rPr>
      <w:rFonts w:ascii="仿宋_GB2312" w:eastAsia="仿宋_GB2312"/>
      <w:b/>
      <w:sz w:val="30"/>
      <w:szCs w:val="20"/>
    </w:rPr>
  </w:style>
  <w:style w:type="paragraph" w:customStyle="1" w:styleId="73">
    <w:name w:val="Char1"/>
    <w:basedOn w:val="1"/>
    <w:qFormat/>
    <w:uiPriority w:val="0"/>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样式6"/>
    <w:basedOn w:val="28"/>
    <w:next w:val="1"/>
    <w:qFormat/>
    <w:uiPriority w:val="0"/>
    <w:pPr>
      <w:tabs>
        <w:tab w:val="right" w:leader="dot" w:pos="9200"/>
      </w:tabs>
    </w:pPr>
    <w:rPr>
      <w:rFonts w:eastAsia="仿宋_GB2312"/>
      <w:sz w:val="28"/>
      <w:szCs w:val="21"/>
    </w:rPr>
  </w:style>
  <w:style w:type="paragraph" w:customStyle="1" w:styleId="76">
    <w:name w:val="flType"/>
    <w:basedOn w:val="1"/>
    <w:qFormat/>
    <w:uiPriority w:val="0"/>
    <w:pPr>
      <w:adjustRightInd w:val="0"/>
      <w:spacing w:after="284" w:line="113" w:lineRule="atLeast"/>
      <w:jc w:val="center"/>
    </w:pPr>
    <w:rPr>
      <w:kern w:val="0"/>
      <w:sz w:val="24"/>
      <w:szCs w:val="20"/>
    </w:rPr>
  </w:style>
  <w:style w:type="paragraph" w:customStyle="1" w:styleId="77">
    <w:name w:val="华文细黑1"/>
    <w:basedOn w:val="1"/>
    <w:qFormat/>
    <w:uiPriority w:val="0"/>
    <w:pPr>
      <w:widowControl/>
      <w:spacing w:line="300" w:lineRule="auto"/>
      <w:ind w:firstLine="200" w:firstLineChars="200"/>
      <w:jc w:val="left"/>
    </w:pPr>
    <w:rPr>
      <w:rFonts w:eastAsia="华文细黑"/>
      <w:kern w:val="0"/>
      <w:sz w:val="24"/>
    </w:rPr>
  </w:style>
  <w:style w:type="paragraph" w:customStyle="1" w:styleId="78">
    <w:name w:val="重点说明"/>
    <w:basedOn w:val="1"/>
    <w:qFormat/>
    <w:uiPriority w:val="0"/>
    <w:pPr>
      <w:widowControl/>
      <w:spacing w:before="40" w:after="40" w:line="400" w:lineRule="exact"/>
      <w:ind w:left="360" w:hanging="360"/>
    </w:pPr>
    <w:rPr>
      <w:rFonts w:ascii="宋体"/>
      <w:b/>
      <w:spacing w:val="6"/>
      <w:sz w:val="28"/>
      <w:szCs w:val="20"/>
    </w:rPr>
  </w:style>
  <w:style w:type="paragraph" w:customStyle="1" w:styleId="79">
    <w:name w:val="样式4"/>
    <w:basedOn w:val="1"/>
    <w:next w:val="28"/>
    <w:qFormat/>
    <w:uiPriority w:val="0"/>
    <w:pPr>
      <w:tabs>
        <w:tab w:val="left" w:pos="8300"/>
      </w:tabs>
      <w:ind w:right="13"/>
      <w:jc w:val="right"/>
    </w:pPr>
    <w:rPr>
      <w:rFonts w:eastAsia="仿宋_GB2312"/>
      <w:sz w:val="28"/>
    </w:rPr>
  </w:style>
  <w:style w:type="paragraph" w:customStyle="1" w:styleId="80">
    <w:name w:val="样式 (中文) 黑体 小二 居中 行距: 1.5 倍行距"/>
    <w:basedOn w:val="1"/>
    <w:next w:val="1"/>
    <w:qFormat/>
    <w:uiPriority w:val="0"/>
    <w:pPr>
      <w:jc w:val="center"/>
    </w:pPr>
    <w:rPr>
      <w:rFonts w:eastAsia="黑体" w:cs="宋体"/>
      <w:sz w:val="36"/>
      <w:szCs w:val="20"/>
    </w:rPr>
  </w:style>
  <w:style w:type="paragraph" w:customStyle="1" w:styleId="81">
    <w:name w:val="Address"/>
    <w:basedOn w:val="1"/>
    <w:next w:val="1"/>
    <w:qFormat/>
    <w:uiPriority w:val="0"/>
    <w:pPr>
      <w:autoSpaceDE w:val="0"/>
      <w:autoSpaceDN w:val="0"/>
      <w:adjustRightInd w:val="0"/>
      <w:jc w:val="left"/>
    </w:pPr>
    <w:rPr>
      <w:i/>
      <w:kern w:val="0"/>
      <w:sz w:val="24"/>
      <w:szCs w:val="20"/>
    </w:rPr>
  </w:style>
  <w:style w:type="paragraph" w:customStyle="1" w:styleId="82">
    <w:name w:val="样式 标题 2 + (中文) 宋体 (西文)五号 非(西文)粗体 段前: 6 磅 段后: 3 磅 行距: 1.5 倍行距"/>
    <w:basedOn w:val="3"/>
    <w:qFormat/>
    <w:uiPriority w:val="0"/>
    <w:pPr>
      <w:adjustRightInd w:val="0"/>
      <w:spacing w:before="120" w:after="60" w:line="360" w:lineRule="auto"/>
      <w:jc w:val="center"/>
      <w:textAlignment w:val="baseline"/>
    </w:pPr>
    <w:rPr>
      <w:rFonts w:eastAsia="宋体"/>
      <w:bCs w:val="0"/>
      <w:kern w:val="0"/>
      <w:sz w:val="24"/>
      <w:szCs w:val="24"/>
    </w:rPr>
  </w:style>
  <w:style w:type="paragraph" w:customStyle="1" w:styleId="83">
    <w:name w:val="Char Char Char Char"/>
    <w:basedOn w:val="1"/>
    <w:next w:val="1"/>
    <w:qFormat/>
    <w:uiPriority w:val="0"/>
    <w:pPr>
      <w:widowControl/>
      <w:spacing w:after="160" w:line="240" w:lineRule="exact"/>
      <w:jc w:val="left"/>
    </w:pPr>
  </w:style>
  <w:style w:type="paragraph" w:customStyle="1" w:styleId="84">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5">
    <w:name w:val="默认段落字体 Para Char Char Char Char"/>
    <w:basedOn w:val="1"/>
    <w:qFormat/>
    <w:uiPriority w:val="0"/>
  </w:style>
  <w:style w:type="paragraph" w:customStyle="1" w:styleId="86">
    <w:name w:val="样式 标题 1 + 居中"/>
    <w:basedOn w:val="2"/>
    <w:qFormat/>
    <w:uiPriority w:val="0"/>
    <w:pPr>
      <w:spacing w:line="576" w:lineRule="auto"/>
      <w:jc w:val="center"/>
    </w:pPr>
    <w:rPr>
      <w:bCs w:val="0"/>
      <w:sz w:val="32"/>
      <w:szCs w:val="20"/>
    </w:rPr>
  </w:style>
  <w:style w:type="paragraph" w:customStyle="1" w:styleId="87">
    <w:name w:val="Paragraph P1&amp;2"/>
    <w:basedOn w:val="1"/>
    <w:qFormat/>
    <w:uiPriority w:val="0"/>
    <w:pPr>
      <w:widowControl/>
      <w:numPr>
        <w:ilvl w:val="0"/>
        <w:numId w:val="2"/>
      </w:numPr>
      <w:tabs>
        <w:tab w:val="left" w:pos="420"/>
      </w:tabs>
      <w:spacing w:before="40" w:after="60" w:line="360" w:lineRule="auto"/>
      <w:jc w:val="left"/>
    </w:pPr>
    <w:rPr>
      <w:rFonts w:ascii="宋体"/>
      <w:color w:val="FF0000"/>
      <w:sz w:val="24"/>
    </w:rPr>
  </w:style>
  <w:style w:type="paragraph" w:customStyle="1" w:styleId="88">
    <w:name w:val="标准正文"/>
    <w:basedOn w:val="1"/>
    <w:qFormat/>
    <w:uiPriority w:val="0"/>
    <w:pPr>
      <w:snapToGrid w:val="0"/>
      <w:spacing w:line="312" w:lineRule="auto"/>
      <w:ind w:firstLine="482"/>
    </w:pPr>
    <w:rPr>
      <w:sz w:val="24"/>
      <w:szCs w:val="20"/>
    </w:rPr>
  </w:style>
  <w:style w:type="paragraph" w:customStyle="1" w:styleId="89">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0">
    <w:name w:val="Char Char2 Char Char Char Char"/>
    <w:basedOn w:val="1"/>
    <w:qFormat/>
    <w:uiPriority w:val="0"/>
    <w:rPr>
      <w:rFonts w:ascii="Tahoma" w:hAnsi="Tahoma"/>
      <w:sz w:val="24"/>
      <w:szCs w:val="20"/>
    </w:rPr>
  </w:style>
  <w:style w:type="paragraph" w:customStyle="1" w:styleId="91">
    <w:name w:val="Char Char Char Char Char Char Char Char Char Char Char Char Char Char Char"/>
    <w:basedOn w:val="1"/>
    <w:qFormat/>
    <w:uiPriority w:val="0"/>
    <w:pPr>
      <w:widowControl/>
      <w:spacing w:line="400" w:lineRule="exact"/>
      <w:jc w:val="center"/>
    </w:pPr>
    <w:rPr>
      <w:rFonts w:ascii="Verdana" w:hAnsi="Verdana"/>
      <w:kern w:val="0"/>
      <w:szCs w:val="20"/>
    </w:rPr>
  </w:style>
  <w:style w:type="paragraph" w:customStyle="1" w:styleId="92">
    <w:name w:val="Char Char1 Char Char Char"/>
    <w:basedOn w:val="13"/>
    <w:qFormat/>
    <w:uiPriority w:val="0"/>
  </w:style>
  <w:style w:type="paragraph" w:customStyle="1" w:styleId="93">
    <w:name w:val="List Paragraph1"/>
    <w:basedOn w:val="1"/>
    <w:qFormat/>
    <w:uiPriority w:val="0"/>
    <w:pPr>
      <w:ind w:firstLine="200" w:firstLineChars="200"/>
    </w:pPr>
    <w:rPr>
      <w:rFonts w:ascii="Calibri" w:hAnsi="Calibri"/>
      <w:szCs w:val="22"/>
    </w:rPr>
  </w:style>
  <w:style w:type="paragraph" w:customStyle="1" w:styleId="94">
    <w:name w:val="样式 (中文) 黑体 小三 加粗 居中 行距: 1.5 倍行距"/>
    <w:basedOn w:val="1"/>
    <w:next w:val="1"/>
    <w:qFormat/>
    <w:uiPriority w:val="0"/>
    <w:pPr>
      <w:spacing w:line="360" w:lineRule="auto"/>
      <w:jc w:val="center"/>
    </w:pPr>
    <w:rPr>
      <w:rFonts w:eastAsia="黑体" w:cs="宋体"/>
      <w:b/>
      <w:bCs/>
      <w:sz w:val="30"/>
      <w:szCs w:val="20"/>
    </w:rPr>
  </w:style>
  <w:style w:type="paragraph" w:customStyle="1" w:styleId="95">
    <w:name w:val="样式 (中文) 黑体 小二 行距: 1.5 倍行距"/>
    <w:basedOn w:val="1"/>
    <w:qFormat/>
    <w:uiPriority w:val="0"/>
    <w:pPr>
      <w:spacing w:line="360" w:lineRule="auto"/>
    </w:pPr>
    <w:rPr>
      <w:rFonts w:eastAsia="黑体" w:cs="宋体"/>
      <w:sz w:val="36"/>
      <w:szCs w:val="20"/>
    </w:rPr>
  </w:style>
  <w:style w:type="paragraph" w:customStyle="1" w:styleId="96">
    <w:name w:val="正文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97">
    <w:name w:val="fontsize"/>
    <w:basedOn w:val="1"/>
    <w:qFormat/>
    <w:uiPriority w:val="0"/>
    <w:pPr>
      <w:widowControl/>
      <w:spacing w:before="100" w:beforeAutospacing="1" w:after="100" w:afterAutospacing="1"/>
      <w:ind w:firstLine="180"/>
      <w:jc w:val="left"/>
    </w:pPr>
    <w:rPr>
      <w:rFonts w:ascii="Arial Unicode MS" w:hAnsi="Arial Unicode MS" w:eastAsia="Arial Unicode MS"/>
      <w:color w:val="000000"/>
      <w:spacing w:val="20"/>
      <w:kern w:val="0"/>
      <w:sz w:val="24"/>
      <w:szCs w:val="20"/>
      <w:vertAlign w:val="subscript"/>
    </w:rPr>
  </w:style>
  <w:style w:type="paragraph" w:customStyle="1" w:styleId="98">
    <w:name w:val="样式5"/>
    <w:basedOn w:val="66"/>
    <w:qFormat/>
    <w:uiPriority w:val="0"/>
    <w:pPr>
      <w:spacing w:line="360" w:lineRule="auto"/>
    </w:pPr>
  </w:style>
  <w:style w:type="paragraph" w:customStyle="1" w:styleId="99">
    <w:name w:val="Char Char Char Char Char Char Char Char Char Char Char Char Char"/>
    <w:basedOn w:val="1"/>
    <w:qFormat/>
    <w:uiPriority w:val="0"/>
    <w:pPr>
      <w:tabs>
        <w:tab w:val="left" w:pos="420"/>
      </w:tabs>
      <w:ind w:left="420" w:hanging="420"/>
    </w:pPr>
    <w:rPr>
      <w:rFonts w:ascii="Tahoma" w:hAnsi="Tahoma"/>
      <w:sz w:val="24"/>
      <w:szCs w:val="20"/>
    </w:rPr>
  </w:style>
  <w:style w:type="paragraph" w:customStyle="1" w:styleId="100">
    <w:name w:val="默认段落字体 Para Char Char Char Char Char Char Char Char Char Char"/>
    <w:basedOn w:val="1"/>
    <w:qFormat/>
    <w:uiPriority w:val="0"/>
    <w:rPr>
      <w:rFonts w:ascii="Tahoma" w:hAnsi="Tahoma"/>
      <w:sz w:val="24"/>
      <w:szCs w:val="20"/>
    </w:rPr>
  </w:style>
  <w:style w:type="paragraph" w:customStyle="1" w:styleId="101">
    <w:name w:val="表格文字"/>
    <w:basedOn w:val="1"/>
    <w:next w:val="1"/>
    <w:qFormat/>
    <w:uiPriority w:val="0"/>
    <w:pPr>
      <w:autoSpaceDE w:val="0"/>
      <w:autoSpaceDN w:val="0"/>
      <w:adjustRightInd w:val="0"/>
      <w:spacing w:before="6" w:after="6"/>
      <w:jc w:val="left"/>
    </w:pPr>
    <w:rPr>
      <w:rFonts w:ascii="宋体"/>
      <w:kern w:val="0"/>
      <w:sz w:val="20"/>
    </w:rPr>
  </w:style>
  <w:style w:type="paragraph" w:customStyle="1" w:styleId="102">
    <w:name w:val="样式 (中文) 黑体 四号 居中 行距: 1.5 倍行距"/>
    <w:basedOn w:val="4"/>
    <w:qFormat/>
    <w:uiPriority w:val="0"/>
    <w:pPr>
      <w:spacing w:line="240" w:lineRule="auto"/>
      <w:jc w:val="center"/>
    </w:pPr>
    <w:rPr>
      <w:rFonts w:eastAsia="黑体" w:cs="宋体"/>
      <w:sz w:val="28"/>
      <w:szCs w:val="20"/>
    </w:rPr>
  </w:style>
  <w:style w:type="paragraph" w:customStyle="1" w:styleId="103">
    <w:name w:val="31a（正文）章标题"/>
    <w:qFormat/>
    <w:uiPriority w:val="0"/>
    <w:pPr>
      <w:adjustRightInd w:val="0"/>
      <w:snapToGrid w:val="0"/>
      <w:spacing w:beforeLines="50" w:afterLines="50"/>
      <w:ind w:firstLine="150" w:firstLineChars="150"/>
      <w:jc w:val="both"/>
      <w:outlineLvl w:val="0"/>
    </w:pPr>
    <w:rPr>
      <w:rFonts w:ascii="楷体_GB2312" w:hAnsi="楷体_GB2312" w:eastAsia="宋体" w:cs="Times New Roman"/>
      <w:sz w:val="21"/>
      <w:lang w:val="en-US" w:eastAsia="zh-CN" w:bidi="ar-SA"/>
    </w:rPr>
  </w:style>
  <w:style w:type="character" w:customStyle="1" w:styleId="104">
    <w:name w:val="页脚 字符"/>
    <w:basedOn w:val="37"/>
    <w:link w:val="26"/>
    <w:qFormat/>
    <w:uiPriority w:val="99"/>
    <w:rPr>
      <w:kern w:val="2"/>
      <w:sz w:val="18"/>
      <w:szCs w:val="24"/>
    </w:rPr>
  </w:style>
  <w:style w:type="character" w:customStyle="1" w:styleId="105">
    <w:name w:val="批注文字 字符"/>
    <w:basedOn w:val="37"/>
    <w:link w:val="15"/>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4639A8-3ECC-4C00-A5D7-3BEF4156B54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52</Pages>
  <Words>1926</Words>
  <Characters>2179</Characters>
  <Lines>209</Lines>
  <Paragraphs>59</Paragraphs>
  <TotalTime>1</TotalTime>
  <ScaleCrop>false</ScaleCrop>
  <LinksUpToDate>false</LinksUpToDate>
  <CharactersWithSpaces>2213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2022-06-15T09:31:00Z</dcterms:created>
  <dc:creator>Administrator</dc:creator>
  <cp:lastModifiedBy>ｊｅｓｓｉｅ</cp:lastModifiedBy>
  <cp:lastPrinted>2016-12-14T06:42:00Z</cp:lastPrinted>
  <dcterms:modified xsi:type="dcterms:W3CDTF">2026-09-03T06:22:14Z</dcterms:modified>
  <dc:title>海安县中医院门急诊医疗综合楼工程幕墙、钢雨篷工程设计与施工招标公告及招标文件</dc:title>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502EE77CA3D54971A23972F153504A23_13</vt:lpwstr>
  </property>
  <property fmtid="{D5CDD505-2E9C-101B-9397-08002B2CF9AE}" pid="4" name="KSOTemplateDocerSaveRecord">
    <vt:lpwstr>eyJoZGlkIjoiMTJhNTNmMTg1YmIyMzBhNGFkMjE1NDhmMmZmMTVlNWEiLCJ1c2VySWQiOiIxMjM1Mzg0ODk3In0=</vt:lpwstr>
  </property>
</Properties>
</file>